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北京市投资促进局</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2018年政府信息公开工作年度报告</w:t>
      </w:r>
    </w:p>
    <w:p>
      <w:pPr>
        <w:spacing w:line="560" w:lineRule="exact"/>
        <w:jc w:val="center"/>
        <w:rPr>
          <w:rFonts w:ascii="方正小标宋_GBK" w:eastAsia="方正小标宋_GBK"/>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2018年，我局坚持以习近平新时代中国特色社会主义思想为指导，深入贯彻党的十九大精神、习近平总书记对北京重要讲话精神和市第十二次党代会</w:t>
      </w:r>
      <w:bookmarkStart w:id="0" w:name="_GoBack"/>
      <w:bookmarkEnd w:id="0"/>
      <w:r>
        <w:rPr>
          <w:rFonts w:hint="eastAsia" w:ascii="仿宋_GB2312" w:eastAsia="仿宋_GB2312"/>
          <w:sz w:val="32"/>
          <w:szCs w:val="32"/>
        </w:rPr>
        <w:t>、市委十二届历次全会精神，贯彻新发展理念，落实高质量发展要求，按照首都投资促进“一二三四五”的总体工作思路，大力改革创新，推动首都投资促进工作。依据《中华人民共和国政府信息公开条例》和《北京市政府信息公开规定》的相关规定，认真落实国务院办公厅《2018年政务公开工作要点》及北京市人民政府办公厅《北京市2018年政务公开工作要点》的工作要求，主动充分发掘这一年的工作特点，完善工作机制，编制公开全清单，调整公开目录，充分发挥多平台的作用，加大主动发布政府信息的力度，切实推进我局政务公开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二、完成主要工作</w:t>
      </w:r>
    </w:p>
    <w:p>
      <w:pPr>
        <w:spacing w:line="560" w:lineRule="exact"/>
        <w:ind w:firstLine="480" w:firstLineChars="150"/>
        <w:rPr>
          <w:rFonts w:ascii="仿宋_GB2312" w:eastAsia="仿宋_GB2312"/>
          <w:sz w:val="32"/>
          <w:szCs w:val="32"/>
        </w:rPr>
      </w:pPr>
      <w:r>
        <w:rPr>
          <w:rFonts w:hint="eastAsia" w:ascii="楷体_GB2312" w:eastAsia="楷体_GB2312"/>
          <w:sz w:val="32"/>
          <w:szCs w:val="32"/>
        </w:rPr>
        <w:t>（一）完善工作机制。</w:t>
      </w:r>
      <w:r>
        <w:rPr>
          <w:rFonts w:hint="eastAsia" w:ascii="仿宋_GB2312" w:eastAsia="仿宋_GB2312"/>
          <w:sz w:val="32"/>
          <w:szCs w:val="32"/>
        </w:rPr>
        <w:t>我局积极做好《中华人民共和国政府信息公开条例》和《北京市政府信息公开规定》的推行落实，建立健全政府发言人制度，设立了政府信息和政务公开工作领导小组，明确了分管政务公开工作的主管副局长，并对外公开。领导小组下设政府信息和政务公开工作办公室，办公室、区域促进处等综合职能处室负责人为小组成员，全面负责领导我局政府信息和政务公开工作。领导小组下设政府信息公开保密审查小组，设立分级审查工作机制，坚持“一事一审，一件一签”，执行严格的信息公开保密审查制度。完善会议开放相关工作制度和公文公开属性源头管理工作制度。完善政府信息公开工作受理机制和监督考核机制。</w:t>
      </w:r>
    </w:p>
    <w:p>
      <w:pPr>
        <w:spacing w:line="560" w:lineRule="exact"/>
        <w:ind w:firstLine="480" w:firstLineChars="150"/>
        <w:rPr>
          <w:rFonts w:ascii="仿宋_GB2312" w:eastAsia="仿宋_GB2312"/>
          <w:sz w:val="32"/>
          <w:szCs w:val="32"/>
        </w:rPr>
      </w:pPr>
      <w:r>
        <w:rPr>
          <w:rFonts w:hint="eastAsia" w:ascii="楷体_GB2312" w:eastAsia="楷体_GB2312"/>
          <w:sz w:val="32"/>
          <w:szCs w:val="32"/>
        </w:rPr>
        <w:t>（二）推进平台建设。</w:t>
      </w:r>
      <w:r>
        <w:rPr>
          <w:rFonts w:hint="eastAsia" w:ascii="仿宋_GB2312" w:eastAsia="仿宋_GB2312"/>
          <w:sz w:val="32"/>
          <w:szCs w:val="32"/>
        </w:rPr>
        <w:t>不断优化北京市投资促进局官网内容，丰富完善栏目功能，设置“优化营商环境”专栏，及时更新产业政策，实现信息资源整合，着力推进优化营商环境政策宣传。充分利用政务微博、微信公众号政务新媒体渠道补充发布相关信息。</w:t>
      </w:r>
    </w:p>
    <w:p>
      <w:pPr>
        <w:spacing w:line="560" w:lineRule="exact"/>
        <w:ind w:firstLine="480" w:firstLineChars="150"/>
        <w:rPr>
          <w:rFonts w:ascii="仿宋_GB2312" w:eastAsia="仿宋_GB2312"/>
          <w:sz w:val="32"/>
          <w:szCs w:val="32"/>
        </w:rPr>
      </w:pPr>
      <w:r>
        <w:rPr>
          <w:rFonts w:hint="eastAsia" w:ascii="楷体_GB2312" w:eastAsia="楷体_GB2312"/>
          <w:sz w:val="32"/>
          <w:szCs w:val="32"/>
        </w:rPr>
        <w:t>（三）加大政策宣讲。</w:t>
      </w:r>
      <w:r>
        <w:rPr>
          <w:rFonts w:hint="eastAsia" w:ascii="仿宋_GB2312" w:eastAsia="仿宋_GB2312"/>
          <w:sz w:val="32"/>
          <w:szCs w:val="32"/>
        </w:rPr>
        <w:t>一是充分利用驻京中外知名企业投资各区行、开展境外投资促进活动、加强投资人调研走访、参加京内外高端经贸会议等形式积极营销新北京，着重宣讲北京服务业扩大开放政策和优化营商环境一系列政策。二是通过我局举办的第二十二届京港会、第十届京洽会，主要领导人积极宣讲北京市各项政策，积极传递发展商机。</w:t>
      </w:r>
      <w:r>
        <w:rPr>
          <w:rFonts w:ascii="仿宋_GB2312" w:eastAsia="仿宋_GB2312"/>
          <w:sz w:val="32"/>
          <w:szCs w:val="32"/>
        </w:rPr>
        <w:t>举办了</w:t>
      </w:r>
      <w:r>
        <w:rPr>
          <w:rFonts w:hint="eastAsia" w:ascii="仿宋_GB2312" w:eastAsia="仿宋_GB2312"/>
          <w:sz w:val="32"/>
          <w:szCs w:val="32"/>
        </w:rPr>
        <w:t>“</w:t>
      </w:r>
      <w:r>
        <w:rPr>
          <w:rFonts w:ascii="仿宋_GB2312" w:eastAsia="仿宋_GB2312"/>
          <w:sz w:val="32"/>
          <w:szCs w:val="32"/>
        </w:rPr>
        <w:t>第</w:t>
      </w:r>
      <w:r>
        <w:rPr>
          <w:rFonts w:hint="eastAsia" w:ascii="仿宋_GB2312" w:eastAsia="仿宋_GB2312"/>
          <w:sz w:val="32"/>
          <w:szCs w:val="32"/>
        </w:rPr>
        <w:t>二十二</w:t>
      </w:r>
      <w:r>
        <w:rPr>
          <w:rFonts w:ascii="仿宋_GB2312" w:eastAsia="仿宋_GB2312"/>
          <w:sz w:val="32"/>
          <w:szCs w:val="32"/>
        </w:rPr>
        <w:t>届京港会新闻发布会</w:t>
      </w:r>
      <w:r>
        <w:rPr>
          <w:rFonts w:hint="eastAsia" w:ascii="仿宋_GB2312" w:eastAsia="仿宋_GB2312"/>
          <w:sz w:val="32"/>
          <w:szCs w:val="32"/>
        </w:rPr>
        <w:t>”</w:t>
      </w:r>
      <w:r>
        <w:rPr>
          <w:rFonts w:ascii="仿宋_GB2312" w:eastAsia="仿宋_GB2312"/>
          <w:sz w:val="32"/>
          <w:szCs w:val="32"/>
        </w:rPr>
        <w:t>，通过媒体向社会公布了本届京港会举办的相关信息。</w:t>
      </w:r>
      <w:r>
        <w:rPr>
          <w:rFonts w:hint="eastAsia" w:ascii="仿宋_GB2312" w:eastAsia="仿宋_GB2312"/>
          <w:sz w:val="32"/>
          <w:szCs w:val="32"/>
        </w:rPr>
        <w:t>三是在日常的商务会见、走访调研中，各处室积极宣讲北京市各项政策，搜集反馈信息，注重与政策制定的部门沟通协调，以便更全面、更详细、更专业地宣讲政策。</w:t>
      </w:r>
    </w:p>
    <w:p>
      <w:pPr>
        <w:spacing w:line="560" w:lineRule="exact"/>
        <w:ind w:firstLine="480" w:firstLineChars="150"/>
        <w:rPr>
          <w:rFonts w:ascii="仿宋_GB2312" w:eastAsia="仿宋_GB2312"/>
          <w:sz w:val="32"/>
          <w:szCs w:val="32"/>
        </w:rPr>
      </w:pPr>
      <w:r>
        <w:rPr>
          <w:rFonts w:hint="eastAsia" w:ascii="楷体_GB2312" w:eastAsia="楷体_GB2312"/>
          <w:sz w:val="32"/>
          <w:szCs w:val="32"/>
        </w:rPr>
        <w:t>（四）扩大社会参与。</w:t>
      </w:r>
      <w:r>
        <w:rPr>
          <w:rFonts w:hint="eastAsia" w:ascii="仿宋_GB2312" w:eastAsia="仿宋_GB2312"/>
          <w:sz w:val="32"/>
          <w:szCs w:val="32"/>
        </w:rPr>
        <w:t>以投资人需求为导向，局官网及时更新“投资北京知识”，设置“投资咨询互动”栏目，投资人可以通过在线调查、在线提问等不同方式和我局互动，我局就投资人关心的产业政策、优惠政策及各区的区位优势及时予以回应，力求在最短的时间内，对来信进行处理和反馈，并将回应互动的结果在网站上公示。</w:t>
      </w:r>
    </w:p>
    <w:p>
      <w:pPr>
        <w:spacing w:line="560" w:lineRule="exact"/>
        <w:ind w:firstLine="480" w:firstLineChars="150"/>
        <w:rPr>
          <w:rFonts w:ascii="仿宋_GB2312" w:eastAsia="仿宋_GB2312"/>
          <w:sz w:val="32"/>
          <w:szCs w:val="32"/>
        </w:rPr>
      </w:pPr>
      <w:r>
        <w:rPr>
          <w:rFonts w:hint="eastAsia" w:ascii="楷体_GB2312" w:eastAsia="楷体_GB2312"/>
          <w:sz w:val="32"/>
          <w:szCs w:val="32"/>
        </w:rPr>
        <w:t>（五）强化业务培训。</w:t>
      </w:r>
      <w:r>
        <w:rPr>
          <w:rFonts w:hint="eastAsia" w:ascii="仿宋_GB2312" w:eastAsia="仿宋_GB2312"/>
          <w:sz w:val="32"/>
          <w:szCs w:val="32"/>
        </w:rPr>
        <w:t>组织相关人员进行政府信息公开工作专题培训，通过培训，强化了全系统人员的政府信息公开工作意识，提升了工作能力，加强了人才队伍。</w:t>
      </w:r>
    </w:p>
    <w:p>
      <w:pPr>
        <w:spacing w:line="560" w:lineRule="exact"/>
        <w:ind w:firstLine="640" w:firstLineChars="200"/>
      </w:pPr>
      <w:r>
        <w:rPr>
          <w:rFonts w:hint="eastAsia" w:ascii="黑体" w:hAnsi="黑体" w:eastAsia="黑体"/>
          <w:sz w:val="32"/>
          <w:szCs w:val="32"/>
        </w:rPr>
        <w:t>三、主动公开政府信息情况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度，我局坚持“以公开为常态，不公开为例外”，积极做好主动公开工作。一是加大财政性资金公开力度，不断细化公开内容。按照全市统一要求，我局认真落实财政预算决算和“三公”经费公开工作，于3月公开了2018年部门预算信息，8月公开了2017年部门决算。二是加大绩效任务公开力度，及时公开完成情况。按照全市统一要求，我局于1月公开了2017年绩效自查报告，5月公开全年绩效任务，7月完成上半年绩效任务推进情况的公开，10月完成前三季度绩效任务进展情况的公开。三是围绕投资促进、招商引资中心工作，主动公开各项商务会见调研、各区行活动、京港会、京洽会、京津冀合作、业务培训等内容。截止2018年12月31日，通过政府信息公开平台主动公开政府信息98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四、依申请公开政府信息情况</w:t>
      </w:r>
    </w:p>
    <w:p>
      <w:pPr>
        <w:spacing w:line="560" w:lineRule="exact"/>
        <w:ind w:firstLine="480" w:firstLineChars="150"/>
      </w:pPr>
      <w:r>
        <w:rPr>
          <w:rFonts w:hint="eastAsia" w:ascii="楷体_GB2312" w:eastAsia="楷体_GB2312"/>
          <w:sz w:val="32"/>
          <w:szCs w:val="32"/>
        </w:rPr>
        <w:t>（一）申请情况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本年度，我局受理政府信息公开申请6件，其中网上申请5件，当面申请0件，传真申请0件，信函申请1件。</w:t>
      </w:r>
    </w:p>
    <w:p>
      <w:pPr>
        <w:spacing w:line="560" w:lineRule="exact"/>
        <w:ind w:firstLine="480" w:firstLineChars="150"/>
      </w:pPr>
      <w:r>
        <w:rPr>
          <w:rFonts w:hint="eastAsia" w:ascii="楷体_GB2312" w:eastAsia="楷体_GB2312"/>
          <w:sz w:val="32"/>
          <w:szCs w:val="32"/>
        </w:rPr>
        <w:t>（二）申请处理情况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本年度受理的6件政府信息公开申请均已答复，其中属于已主动公开范围的3件，属同意公开答复的2件，属告知作出更改补充数的1件。</w:t>
      </w:r>
    </w:p>
    <w:p>
      <w:pPr>
        <w:spacing w:line="560" w:lineRule="exact"/>
        <w:ind w:firstLine="480" w:firstLineChars="150"/>
      </w:pPr>
      <w:r>
        <w:rPr>
          <w:rFonts w:hint="eastAsia" w:ascii="楷体_GB2312" w:eastAsia="楷体_GB2312"/>
          <w:sz w:val="32"/>
          <w:szCs w:val="32"/>
        </w:rPr>
        <w:t>（三）依申请收费及减免情况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2018年我局依申请提供政府信息未收取任何费用。</w:t>
      </w:r>
    </w:p>
    <w:p>
      <w:pPr>
        <w:spacing w:line="560" w:lineRule="exact"/>
        <w:ind w:firstLine="480" w:firstLineChars="150"/>
      </w:pPr>
      <w:r>
        <w:rPr>
          <w:rFonts w:hint="eastAsia" w:ascii="楷体_GB2312" w:eastAsia="楷体_GB2312"/>
          <w:sz w:val="32"/>
          <w:szCs w:val="32"/>
        </w:rPr>
        <w:t>（四）申请行政复议及提起行政诉讼情况</w:t>
      </w:r>
    </w:p>
    <w:p>
      <w:pPr>
        <w:spacing w:line="560" w:lineRule="exact"/>
        <w:ind w:firstLine="640" w:firstLineChars="2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8年，没有发生针对我局政府信息公开的行政复议、行政诉讼以及举报案。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五、存在的不足及改进措施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我局政府信息公开工作稳步推进，取得了一定的成效，但是也存在着问题：一是要进一步加强业务培训工作，提高政务公开工作人员的专业素质，使政务公开工作更好地为社会、行业和公众服务；二是信息公开的内容还需要进一步充实完善。虽然我局已建立了各项工作制度，但在具体操作上还应不断深化对《条例》的理解和运用，不断加强与我局核心工作相结合，丰富公开的内容，提升我局政府信息公开工作整体水平。</w:t>
      </w:r>
      <w:r>
        <w:rPr>
          <w:rFonts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rPr>
        <w:t xml:space="preserve">北京市投资促进局    </w:t>
      </w:r>
    </w:p>
    <w:p>
      <w:pPr>
        <w:wordWrap w:val="0"/>
        <w:spacing w:line="560" w:lineRule="exact"/>
        <w:jc w:val="right"/>
        <w:rPr>
          <w:rFonts w:ascii="仿宋_GB2312" w:eastAsia="仿宋_GB2312"/>
          <w:sz w:val="32"/>
          <w:szCs w:val="32"/>
        </w:rPr>
      </w:pPr>
      <w:r>
        <w:rPr>
          <w:rFonts w:hint="eastAsia" w:ascii="仿宋_GB2312" w:eastAsia="仿宋_GB2312"/>
          <w:sz w:val="32"/>
          <w:szCs w:val="32"/>
        </w:rPr>
        <w:t xml:space="preserve">  2019年3月      </w:t>
      </w:r>
    </w:p>
    <w:p>
      <w:pPr>
        <w:widowControl/>
        <w:jc w:val="left"/>
        <w:rPr>
          <w:rFonts w:ascii="仿宋_GB2312" w:eastAsia="仿宋_GB2312"/>
          <w:sz w:val="32"/>
          <w:szCs w:val="32"/>
        </w:rPr>
      </w:pPr>
      <w:r>
        <w:rPr>
          <w:rFonts w:ascii="仿宋_GB2312" w:eastAsia="仿宋_GB2312"/>
          <w:sz w:val="32"/>
          <w:szCs w:val="32"/>
        </w:rPr>
        <w:br w:type="page"/>
      </w:r>
    </w:p>
    <w:tbl>
      <w:tblPr>
        <w:tblStyle w:val="7"/>
        <w:tblW w:w="9555" w:type="dxa"/>
        <w:jc w:val="center"/>
        <w:tblLayout w:type="fixed"/>
        <w:tblCellMar>
          <w:top w:w="0" w:type="dxa"/>
          <w:left w:w="108" w:type="dxa"/>
          <w:bottom w:w="0" w:type="dxa"/>
          <w:right w:w="108" w:type="dxa"/>
        </w:tblCellMar>
      </w:tblPr>
      <w:tblGrid>
        <w:gridCol w:w="7470"/>
        <w:gridCol w:w="285"/>
        <w:gridCol w:w="475"/>
        <w:gridCol w:w="245"/>
        <w:gridCol w:w="1080"/>
      </w:tblGrid>
      <w:tr>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（2018年度）</w:t>
            </w:r>
          </w:p>
        </w:tc>
      </w:tr>
      <w:tr>
        <w:trPr>
          <w:trHeight w:val="405" w:hRule="atLeast"/>
          <w:jc w:val="center"/>
        </w:trPr>
        <w:tc>
          <w:tcPr>
            <w:tcW w:w="775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rPr>
          <w:trHeight w:val="300" w:hRule="atLeast"/>
          <w:jc w:val="center"/>
        </w:trPr>
        <w:tc>
          <w:tcPr>
            <w:tcW w:w="7755" w:type="dxa"/>
            <w:gridSpan w:val="2"/>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填报单位：北京市投资促进局</w:t>
            </w:r>
          </w:p>
        </w:tc>
        <w:tc>
          <w:tcPr>
            <w:tcW w:w="720" w:type="dxa"/>
            <w:gridSpan w:val="2"/>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98</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p>
        </w:tc>
      </w:tr>
      <w:tr>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98</w:t>
            </w:r>
          </w:p>
        </w:tc>
      </w:tr>
      <w:tr>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147</w:t>
            </w:r>
          </w:p>
        </w:tc>
      </w:tr>
      <w:tr>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83</w:t>
            </w:r>
          </w:p>
        </w:tc>
      </w:tr>
      <w:tr>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p>
        </w:tc>
      </w:tr>
      <w:tr>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33</w:t>
            </w:r>
          </w:p>
        </w:tc>
      </w:tr>
      <w:tr>
        <w:trPr>
          <w:trHeight w:val="402" w:hRule="atLeast"/>
          <w:jc w:val="center"/>
        </w:trPr>
        <w:tc>
          <w:tcPr>
            <w:tcW w:w="9555" w:type="dxa"/>
            <w:gridSpan w:val="5"/>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 w:val="24"/>
              </w:rPr>
            </w:pPr>
          </w:p>
        </w:tc>
      </w:tr>
      <w:tr>
        <w:trPr>
          <w:trHeight w:val="402" w:hRule="atLeast"/>
          <w:jc w:val="center"/>
        </w:trPr>
        <w:tc>
          <w:tcPr>
            <w:tcW w:w="9555"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p>
        </w:tc>
      </w:tr>
    </w:tbl>
    <w:p>
      <w:pPr>
        <w:spacing w:line="560" w:lineRule="exact"/>
        <w:jc w:val="righ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_GBK">
    <w:panose1 w:val="02000000000000000000"/>
    <w:charset w:val="86"/>
    <w:family w:val="script"/>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9000101010101"/>
    <w:charset w:val="86"/>
    <w:family w:val="auto"/>
    <w:pitch w:val="default"/>
    <w:sig w:usb0="00000000" w:usb1="00000000" w:usb2="00000000" w:usb3="00000000" w:csb0="00060000" w:csb1="00000000"/>
  </w:font>
  <w:font w:name="方正小标宋简体">
    <w:panose1 w:val="03000509000000000000"/>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1D51"/>
    <w:rsid w:val="00013E56"/>
    <w:rsid w:val="00031768"/>
    <w:rsid w:val="00031BEB"/>
    <w:rsid w:val="00054AE0"/>
    <w:rsid w:val="0007712B"/>
    <w:rsid w:val="000777D5"/>
    <w:rsid w:val="0009118B"/>
    <w:rsid w:val="000A7200"/>
    <w:rsid w:val="000B3090"/>
    <w:rsid w:val="000E08CF"/>
    <w:rsid w:val="001028E8"/>
    <w:rsid w:val="0012596F"/>
    <w:rsid w:val="001464CF"/>
    <w:rsid w:val="0015055F"/>
    <w:rsid w:val="00154C9D"/>
    <w:rsid w:val="00157A2D"/>
    <w:rsid w:val="001877C2"/>
    <w:rsid w:val="001939F3"/>
    <w:rsid w:val="001A4DB4"/>
    <w:rsid w:val="001B7F0C"/>
    <w:rsid w:val="00204002"/>
    <w:rsid w:val="00205F57"/>
    <w:rsid w:val="00290928"/>
    <w:rsid w:val="00297774"/>
    <w:rsid w:val="002A3004"/>
    <w:rsid w:val="002B3EC0"/>
    <w:rsid w:val="002E5EC2"/>
    <w:rsid w:val="00301DFE"/>
    <w:rsid w:val="0031262C"/>
    <w:rsid w:val="0031449B"/>
    <w:rsid w:val="0033452B"/>
    <w:rsid w:val="00340EFA"/>
    <w:rsid w:val="003412EA"/>
    <w:rsid w:val="00360FD5"/>
    <w:rsid w:val="00371C75"/>
    <w:rsid w:val="0038303E"/>
    <w:rsid w:val="00392F87"/>
    <w:rsid w:val="003B78E5"/>
    <w:rsid w:val="003C6A1B"/>
    <w:rsid w:val="003D10D7"/>
    <w:rsid w:val="003D5B31"/>
    <w:rsid w:val="003E1103"/>
    <w:rsid w:val="003E62F5"/>
    <w:rsid w:val="003F1F1C"/>
    <w:rsid w:val="003F421A"/>
    <w:rsid w:val="00407384"/>
    <w:rsid w:val="00433507"/>
    <w:rsid w:val="004557AD"/>
    <w:rsid w:val="004754D6"/>
    <w:rsid w:val="004C1216"/>
    <w:rsid w:val="004D3646"/>
    <w:rsid w:val="004D3FB9"/>
    <w:rsid w:val="004E3A41"/>
    <w:rsid w:val="004F652D"/>
    <w:rsid w:val="00504B45"/>
    <w:rsid w:val="00541EA6"/>
    <w:rsid w:val="00545853"/>
    <w:rsid w:val="005510BE"/>
    <w:rsid w:val="005669A1"/>
    <w:rsid w:val="00583871"/>
    <w:rsid w:val="005B2CBF"/>
    <w:rsid w:val="005E59AD"/>
    <w:rsid w:val="005E7E72"/>
    <w:rsid w:val="00607272"/>
    <w:rsid w:val="00646530"/>
    <w:rsid w:val="0069772C"/>
    <w:rsid w:val="006A298B"/>
    <w:rsid w:val="006B3396"/>
    <w:rsid w:val="006F2142"/>
    <w:rsid w:val="006F52E9"/>
    <w:rsid w:val="006F7748"/>
    <w:rsid w:val="007013E2"/>
    <w:rsid w:val="0072749C"/>
    <w:rsid w:val="007478C6"/>
    <w:rsid w:val="007679F2"/>
    <w:rsid w:val="007D294D"/>
    <w:rsid w:val="007F785E"/>
    <w:rsid w:val="00854BDB"/>
    <w:rsid w:val="008A7E58"/>
    <w:rsid w:val="008B5DA4"/>
    <w:rsid w:val="008C7933"/>
    <w:rsid w:val="008D4700"/>
    <w:rsid w:val="008F2F95"/>
    <w:rsid w:val="00917A64"/>
    <w:rsid w:val="00917AE1"/>
    <w:rsid w:val="00917D8E"/>
    <w:rsid w:val="00927F37"/>
    <w:rsid w:val="00930046"/>
    <w:rsid w:val="00930DD9"/>
    <w:rsid w:val="00933578"/>
    <w:rsid w:val="00971AA4"/>
    <w:rsid w:val="009963C8"/>
    <w:rsid w:val="009C4222"/>
    <w:rsid w:val="009C6684"/>
    <w:rsid w:val="009D6E63"/>
    <w:rsid w:val="00A1509D"/>
    <w:rsid w:val="00A46D41"/>
    <w:rsid w:val="00A53384"/>
    <w:rsid w:val="00A7086D"/>
    <w:rsid w:val="00A956E0"/>
    <w:rsid w:val="00AF3DB1"/>
    <w:rsid w:val="00AF5FC1"/>
    <w:rsid w:val="00B23218"/>
    <w:rsid w:val="00B24804"/>
    <w:rsid w:val="00B425DE"/>
    <w:rsid w:val="00B45789"/>
    <w:rsid w:val="00B60FF9"/>
    <w:rsid w:val="00B65CD8"/>
    <w:rsid w:val="00B826F7"/>
    <w:rsid w:val="00BB522E"/>
    <w:rsid w:val="00BB781F"/>
    <w:rsid w:val="00BD6E1A"/>
    <w:rsid w:val="00C21EF1"/>
    <w:rsid w:val="00C761CA"/>
    <w:rsid w:val="00CE7C17"/>
    <w:rsid w:val="00D24619"/>
    <w:rsid w:val="00D42723"/>
    <w:rsid w:val="00D468D7"/>
    <w:rsid w:val="00D54563"/>
    <w:rsid w:val="00D61D51"/>
    <w:rsid w:val="00DA15E6"/>
    <w:rsid w:val="00DE6F8F"/>
    <w:rsid w:val="00E74B99"/>
    <w:rsid w:val="00E8745B"/>
    <w:rsid w:val="00EC607D"/>
    <w:rsid w:val="00EE2D86"/>
    <w:rsid w:val="00EF387C"/>
    <w:rsid w:val="00F12A02"/>
    <w:rsid w:val="00F368CD"/>
    <w:rsid w:val="00F627B1"/>
    <w:rsid w:val="00F65003"/>
    <w:rsid w:val="00FA15A8"/>
    <w:rsid w:val="00FA4D70"/>
    <w:rsid w:val="177019F2"/>
    <w:rsid w:val="1F7B3974"/>
    <w:rsid w:val="230717C7"/>
    <w:rsid w:val="266F4638"/>
    <w:rsid w:val="28EC64A0"/>
    <w:rsid w:val="31163375"/>
    <w:rsid w:val="3E306626"/>
    <w:rsid w:val="4594151B"/>
    <w:rsid w:val="56B4498B"/>
    <w:rsid w:val="64F55983"/>
    <w:rsid w:val="653DDACA"/>
    <w:rsid w:val="6B7D6898"/>
    <w:rsid w:val="6BD63363"/>
    <w:rsid w:val="71FC5BB8"/>
    <w:rsid w:val="730A1F3F"/>
    <w:rsid w:val="760274AD"/>
    <w:rsid w:val="76694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qFormat/>
    <w:uiPriority w:val="99"/>
    <w:rPr>
      <w:color w:val="333333"/>
      <w:u w:val="none"/>
    </w:rPr>
  </w:style>
  <w:style w:type="character" w:styleId="10">
    <w:name w:val="Emphasis"/>
    <w:basedOn w:val="8"/>
    <w:qFormat/>
    <w:uiPriority w:val="20"/>
  </w:style>
  <w:style w:type="character" w:styleId="11">
    <w:name w:val="Hyperlink"/>
    <w:basedOn w:val="8"/>
    <w:unhideWhenUsed/>
    <w:qFormat/>
    <w:uiPriority w:val="99"/>
    <w:rPr>
      <w:color w:val="333333"/>
      <w:u w:val="none"/>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jiuc"/>
    <w:basedOn w:val="8"/>
    <w:qFormat/>
    <w:uiPriority w:val="0"/>
  </w:style>
  <w:style w:type="character" w:customStyle="1" w:styleId="15">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16">
    <w:name w:val="日期 Char"/>
    <w:basedOn w:val="8"/>
    <w:link w:val="2"/>
    <w:semiHidden/>
    <w:qFormat/>
    <w:uiPriority w:val="99"/>
    <w:rPr>
      <w:rFonts w:asciiTheme="minorHAnsi" w:hAnsiTheme="minorHAnsi" w:eastAsiaTheme="minorEastAsia" w:cstheme="minorBidi"/>
      <w:kern w:val="2"/>
      <w:sz w:val="21"/>
      <w:szCs w:val="22"/>
    </w:rPr>
  </w:style>
  <w:style w:type="character" w:customStyle="1" w:styleId="17">
    <w:name w:val="leaidx"/>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689</Words>
  <Characters>3932</Characters>
  <Lines>32</Lines>
  <Paragraphs>9</Paragraphs>
  <TotalTime>0</TotalTime>
  <ScaleCrop>false</ScaleCrop>
  <LinksUpToDate>false</LinksUpToDate>
  <CharactersWithSpaces>4612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2017-11-22T17:18:00Z</dcterms:created>
  <dc:creator>NTKO</dc:creator>
  <cp:lastModifiedBy>张佳文</cp:lastModifiedBy>
  <cp:lastPrinted>2019-01-21T17:20:00Z</cp:lastPrinted>
  <dcterms:modified xsi:type="dcterms:W3CDTF">2024-12-13T12:30:33Z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E1FE13D38BDE585469B85B67B0320B64_42</vt:lpwstr>
  </property>
</Properties>
</file>