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E45F7">
      <w:pPr>
        <w:jc w:val="center"/>
        <w:rPr>
          <w:rFonts w:hint="eastAsia" w:ascii="宋体" w:hAnsi="宋体" w:cs="Arial"/>
          <w:b/>
          <w:bCs/>
          <w:sz w:val="36"/>
          <w:szCs w:val="36"/>
        </w:rPr>
      </w:pPr>
    </w:p>
    <w:p w14:paraId="5FDED564">
      <w:pPr>
        <w:jc w:val="center"/>
        <w:rPr>
          <w:rFonts w:hint="eastAsia" w:ascii="黑体" w:hAnsi="黑体" w:eastAsia="黑体" w:cs="黑体"/>
          <w:b/>
          <w:bCs/>
          <w:sz w:val="36"/>
          <w:szCs w:val="36"/>
        </w:rPr>
      </w:pPr>
    </w:p>
    <w:p w14:paraId="02AD542B">
      <w:pPr>
        <w:jc w:val="center"/>
        <w:rPr>
          <w:rFonts w:hint="eastAsia" w:ascii="黑体" w:hAnsi="黑体" w:eastAsia="黑体" w:cs="黑体"/>
          <w:b/>
          <w:bCs/>
          <w:sz w:val="44"/>
          <w:szCs w:val="44"/>
        </w:rPr>
      </w:pPr>
      <w:r>
        <w:rPr>
          <w:rFonts w:hint="eastAsia" w:ascii="黑体" w:hAnsi="黑体" w:eastAsia="黑体" w:cs="黑体"/>
          <w:b/>
          <w:bCs/>
          <w:sz w:val="44"/>
          <w:szCs w:val="44"/>
        </w:rPr>
        <w:t>北京市投资促进服务中心2024年度</w:t>
      </w:r>
      <w:r>
        <w:rPr>
          <w:rFonts w:hint="eastAsia" w:ascii="黑体" w:hAnsi="黑体" w:eastAsia="黑体" w:cs="黑体"/>
          <w:b/>
          <w:bCs/>
          <w:sz w:val="44"/>
          <w:szCs w:val="44"/>
        </w:rPr>
        <w:br w:type="textWrapping"/>
      </w:r>
      <w:r>
        <w:rPr>
          <w:rFonts w:hint="eastAsia" w:ascii="黑体" w:hAnsi="黑体" w:eastAsia="黑体" w:cs="黑体"/>
          <w:b/>
          <w:bCs/>
          <w:sz w:val="44"/>
          <w:szCs w:val="44"/>
        </w:rPr>
        <w:t>部门整体绩效评价报告</w:t>
      </w:r>
    </w:p>
    <w:p w14:paraId="4E82AC3E">
      <w:pPr>
        <w:jc w:val="center"/>
        <w:rPr>
          <w:rFonts w:hint="eastAsia" w:ascii="黑体" w:hAnsi="黑体" w:eastAsia="黑体" w:cs="黑体"/>
          <w:b/>
          <w:bCs/>
          <w:sz w:val="44"/>
          <w:szCs w:val="44"/>
        </w:rPr>
      </w:pPr>
    </w:p>
    <w:p w14:paraId="0616B054">
      <w:pPr>
        <w:jc w:val="center"/>
        <w:rPr>
          <w:rFonts w:hint="eastAsia" w:ascii="黑体" w:hAnsi="黑体" w:eastAsia="黑体" w:cs="黑体"/>
          <w:b/>
          <w:bCs/>
          <w:sz w:val="36"/>
          <w:szCs w:val="36"/>
        </w:rPr>
      </w:pPr>
    </w:p>
    <w:p w14:paraId="2F773CEA">
      <w:pPr>
        <w:jc w:val="center"/>
        <w:rPr>
          <w:rFonts w:hint="eastAsia" w:ascii="黑体" w:hAnsi="黑体" w:eastAsia="黑体" w:cs="黑体"/>
          <w:b/>
          <w:bCs/>
          <w:sz w:val="36"/>
          <w:szCs w:val="36"/>
        </w:rPr>
      </w:pPr>
    </w:p>
    <w:p w14:paraId="0C68B1E8">
      <w:pPr>
        <w:jc w:val="center"/>
        <w:rPr>
          <w:rFonts w:hint="eastAsia" w:ascii="黑体" w:hAnsi="黑体" w:eastAsia="黑体" w:cs="黑体"/>
          <w:b/>
          <w:bCs/>
          <w:sz w:val="36"/>
          <w:szCs w:val="36"/>
        </w:rPr>
      </w:pPr>
    </w:p>
    <w:p w14:paraId="277DBD0B">
      <w:pPr>
        <w:jc w:val="center"/>
        <w:rPr>
          <w:rFonts w:hint="eastAsia" w:ascii="黑体" w:hAnsi="黑体" w:eastAsia="黑体" w:cs="黑体"/>
          <w:b/>
          <w:bCs/>
          <w:sz w:val="36"/>
          <w:szCs w:val="36"/>
        </w:rPr>
      </w:pPr>
    </w:p>
    <w:p w14:paraId="1DCA0579">
      <w:pPr>
        <w:jc w:val="center"/>
        <w:rPr>
          <w:rFonts w:hint="eastAsia" w:ascii="黑体" w:hAnsi="黑体" w:eastAsia="黑体" w:cs="黑体"/>
          <w:b/>
          <w:bCs/>
          <w:sz w:val="36"/>
          <w:szCs w:val="36"/>
        </w:rPr>
      </w:pPr>
    </w:p>
    <w:p w14:paraId="6A40A874">
      <w:pPr>
        <w:jc w:val="center"/>
        <w:rPr>
          <w:rFonts w:hint="eastAsia" w:ascii="黑体" w:hAnsi="黑体" w:eastAsia="黑体" w:cs="黑体"/>
          <w:b/>
          <w:bCs/>
          <w:sz w:val="36"/>
          <w:szCs w:val="36"/>
        </w:rPr>
      </w:pPr>
    </w:p>
    <w:p w14:paraId="4D8B5E81">
      <w:pPr>
        <w:jc w:val="center"/>
        <w:rPr>
          <w:rFonts w:hint="eastAsia" w:ascii="黑体" w:hAnsi="黑体" w:eastAsia="黑体" w:cs="黑体"/>
          <w:b/>
          <w:bCs/>
          <w:sz w:val="36"/>
          <w:szCs w:val="36"/>
        </w:rPr>
      </w:pPr>
    </w:p>
    <w:p w14:paraId="76B55812">
      <w:pPr>
        <w:jc w:val="center"/>
        <w:rPr>
          <w:rFonts w:hint="eastAsia" w:ascii="黑体" w:hAnsi="黑体" w:eastAsia="黑体" w:cs="黑体"/>
          <w:b/>
          <w:bCs/>
          <w:sz w:val="36"/>
          <w:szCs w:val="36"/>
        </w:rPr>
      </w:pPr>
    </w:p>
    <w:p w14:paraId="2600A93F">
      <w:pPr>
        <w:jc w:val="center"/>
        <w:rPr>
          <w:rFonts w:hint="eastAsia" w:ascii="黑体" w:hAnsi="黑体" w:eastAsia="黑体" w:cs="黑体"/>
          <w:b/>
          <w:bCs/>
          <w:sz w:val="36"/>
          <w:szCs w:val="36"/>
        </w:rPr>
      </w:pPr>
    </w:p>
    <w:p w14:paraId="02698F5C">
      <w:pPr>
        <w:rPr>
          <w:rFonts w:hint="eastAsia" w:ascii="黑体" w:hAnsi="黑体" w:eastAsia="黑体" w:cs="黑体"/>
          <w:b/>
          <w:bCs/>
          <w:sz w:val="36"/>
          <w:szCs w:val="36"/>
        </w:rPr>
      </w:pPr>
    </w:p>
    <w:p w14:paraId="26AD7C1D">
      <w:pPr>
        <w:jc w:val="center"/>
        <w:rPr>
          <w:rFonts w:hint="eastAsia" w:ascii="黑体" w:hAnsi="黑体" w:eastAsia="黑体" w:cs="黑体"/>
          <w:b/>
          <w:bCs/>
          <w:sz w:val="36"/>
          <w:szCs w:val="36"/>
        </w:rPr>
      </w:pPr>
    </w:p>
    <w:p w14:paraId="687F2726">
      <w:pPr>
        <w:pStyle w:val="49"/>
        <w:ind w:firstLine="643" w:firstLineChars="200"/>
        <w:jc w:val="both"/>
        <w:rPr>
          <w:rFonts w:hint="eastAsia" w:ascii="黑体" w:hAnsi="黑体" w:eastAsia="黑体" w:cs="黑体"/>
          <w:b/>
          <w:bCs/>
          <w:sz w:val="32"/>
          <w:szCs w:val="32"/>
          <w:u w:val="single"/>
          <w:lang w:val="en-US" w:eastAsia="zh-CN"/>
        </w:rPr>
      </w:pPr>
      <w:r>
        <w:rPr>
          <w:rFonts w:hint="eastAsia" w:ascii="黑体" w:hAnsi="黑体" w:eastAsia="黑体" w:cs="黑体"/>
          <w:b/>
          <w:bCs/>
          <w:sz w:val="32"/>
          <w:szCs w:val="32"/>
          <w:lang w:val="en-US" w:eastAsia="zh-CN"/>
        </w:rPr>
        <w:t>项目单位：</w:t>
      </w:r>
      <w:r>
        <w:rPr>
          <w:rFonts w:hint="eastAsia" w:ascii="黑体" w:hAnsi="黑体" w:eastAsia="黑体" w:cs="黑体"/>
          <w:b/>
          <w:bCs/>
          <w:sz w:val="32"/>
          <w:szCs w:val="32"/>
          <w:u w:val="single"/>
          <w:lang w:val="en-US" w:eastAsia="zh-CN"/>
        </w:rPr>
        <w:t xml:space="preserve">    北京市投资促进服务中心    </w:t>
      </w:r>
    </w:p>
    <w:p w14:paraId="5C6B3EB1">
      <w:pPr>
        <w:pStyle w:val="49"/>
        <w:ind w:firstLine="643" w:firstLineChars="200"/>
        <w:jc w:val="both"/>
        <w:rPr>
          <w:rFonts w:hint="eastAsia" w:ascii="黑体" w:hAnsi="黑体" w:eastAsia="黑体" w:cs="黑体"/>
          <w:b/>
          <w:bCs/>
          <w:sz w:val="32"/>
          <w:szCs w:val="32"/>
          <w:lang w:val="en-US" w:eastAsia="zh-CN"/>
        </w:rPr>
      </w:pPr>
    </w:p>
    <w:p w14:paraId="3697A471">
      <w:pPr>
        <w:pStyle w:val="49"/>
        <w:ind w:firstLine="643" w:firstLineChars="200"/>
        <w:jc w:val="both"/>
        <w:rPr>
          <w:rFonts w:hint="eastAsia" w:ascii="黑体" w:hAnsi="黑体" w:eastAsia="黑体" w:cs="黑体"/>
          <w:b/>
          <w:bCs/>
          <w:sz w:val="32"/>
          <w:szCs w:val="32"/>
          <w:u w:val="single"/>
          <w:lang w:val="en-US" w:eastAsia="zh-CN"/>
        </w:rPr>
      </w:pPr>
      <w:r>
        <w:rPr>
          <w:rFonts w:hint="eastAsia" w:ascii="黑体" w:hAnsi="黑体" w:eastAsia="黑体" w:cs="黑体"/>
          <w:b/>
          <w:bCs/>
          <w:sz w:val="32"/>
          <w:szCs w:val="32"/>
          <w:lang w:val="en-US" w:eastAsia="zh-CN"/>
        </w:rPr>
        <w:t>评价时间：</w:t>
      </w:r>
      <w:r>
        <w:rPr>
          <w:rFonts w:hint="eastAsia" w:ascii="黑体" w:hAnsi="黑体" w:eastAsia="黑体" w:cs="黑体"/>
          <w:b/>
          <w:bCs/>
          <w:sz w:val="32"/>
          <w:szCs w:val="32"/>
          <w:u w:val="single"/>
          <w:lang w:val="en-US" w:eastAsia="zh-CN"/>
        </w:rPr>
        <w:t xml:space="preserve">       2025年3月—4月       </w:t>
      </w:r>
    </w:p>
    <w:p w14:paraId="728C5133">
      <w:pPr>
        <w:spacing w:line="560" w:lineRule="exact"/>
        <w:jc w:val="center"/>
        <w:rPr>
          <w:rFonts w:hint="eastAsia" w:ascii="微软雅黑" w:eastAsia="微软雅黑"/>
          <w:sz w:val="36"/>
          <w:szCs w:val="36"/>
        </w:rPr>
        <w:sectPr>
          <w:pgSz w:w="11906" w:h="16838"/>
          <w:pgMar w:top="1440" w:right="1800" w:bottom="1440" w:left="1800" w:header="851" w:footer="992" w:gutter="0"/>
          <w:cols w:space="425" w:num="1"/>
          <w:docGrid w:type="lines" w:linePitch="312" w:charSpace="0"/>
        </w:sectPr>
      </w:pPr>
    </w:p>
    <w:sdt>
      <w:sdtPr>
        <w:rPr>
          <w:rFonts w:hint="eastAsia" w:ascii="黑体" w:hAnsi="黑体" w:eastAsia="黑体" w:cs="黑体"/>
        </w:rPr>
        <w:id w:val="147470503"/>
        <w:docPartObj>
          <w:docPartGallery w:val="Table of Contents"/>
          <w:docPartUnique/>
        </w:docPartObj>
      </w:sdtPr>
      <w:sdtEndPr>
        <w:rPr>
          <w:rFonts w:hint="eastAsia" w:cs="黑体" w:asciiTheme="minorHAnsi" w:hAnsiTheme="minorHAnsi" w:eastAsiaTheme="minorEastAsia"/>
        </w:rPr>
      </w:sdtEndPr>
      <w:sdtContent>
        <w:p w14:paraId="0C13FCAE">
          <w:pPr>
            <w:jc w:val="center"/>
            <w:rPr>
              <w:rFonts w:hint="eastAsia" w:ascii="黑体" w:hAnsi="黑体" w:eastAsia="黑体" w:cs="黑体"/>
              <w:b/>
              <w:bCs/>
              <w:sz w:val="28"/>
              <w:szCs w:val="28"/>
            </w:rPr>
          </w:pPr>
          <w:r>
            <w:rPr>
              <w:rFonts w:hint="eastAsia" w:ascii="黑体" w:hAnsi="黑体" w:eastAsia="黑体" w:cs="黑体"/>
              <w:b/>
              <w:bCs/>
              <w:sz w:val="36"/>
              <w:szCs w:val="36"/>
            </w:rPr>
            <w:t>目录</w:t>
          </w:r>
        </w:p>
        <w:p w14:paraId="00E9B049">
          <w:pPr>
            <w:pStyle w:val="19"/>
            <w:tabs>
              <w:tab w:val="right" w:leader="dot" w:pos="8306"/>
            </w:tabs>
            <w:rPr>
              <w:sz w:val="32"/>
              <w:szCs w:val="32"/>
            </w:rPr>
          </w:pP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TOC \o "1-2" \h \u </w:instrText>
          </w:r>
          <w:r>
            <w:rPr>
              <w:rFonts w:hint="eastAsia" w:ascii="宋体" w:hAnsi="宋体" w:eastAsia="宋体" w:cs="宋体"/>
              <w:b/>
              <w:bCs/>
              <w:sz w:val="28"/>
              <w:szCs w:val="28"/>
            </w:rPr>
            <w:fldChar w:fldCharType="separate"/>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_Toc21090 </w:instrText>
          </w:r>
          <w:r>
            <w:rPr>
              <w:rFonts w:hint="eastAsia" w:ascii="宋体" w:hAnsi="宋体" w:eastAsia="宋体" w:cs="宋体"/>
              <w:bCs/>
              <w:sz w:val="32"/>
              <w:szCs w:val="32"/>
            </w:rPr>
            <w:fldChar w:fldCharType="separate"/>
          </w:r>
          <w:r>
            <w:rPr>
              <w:rFonts w:hint="eastAsia" w:ascii="黑体" w:hAnsi="黑体" w:eastAsia="黑体" w:cs="黑体"/>
              <w:bCs/>
              <w:sz w:val="32"/>
              <w:szCs w:val="32"/>
            </w:rPr>
            <w:t>一、</w:t>
          </w:r>
          <w:r>
            <w:rPr>
              <w:rFonts w:hint="eastAsia" w:ascii="黑体" w:hAnsi="黑体" w:eastAsia="黑体" w:cs="黑体"/>
              <w:bCs/>
              <w:sz w:val="32"/>
              <w:szCs w:val="32"/>
              <w:lang w:val="en-US" w:eastAsia="zh-CN"/>
            </w:rPr>
            <w:t>部门概况</w:t>
          </w:r>
          <w:r>
            <w:rPr>
              <w:sz w:val="32"/>
              <w:szCs w:val="32"/>
            </w:rPr>
            <w:tab/>
          </w:r>
          <w:r>
            <w:rPr>
              <w:sz w:val="32"/>
              <w:szCs w:val="32"/>
            </w:rPr>
            <w:fldChar w:fldCharType="begin"/>
          </w:r>
          <w:r>
            <w:rPr>
              <w:sz w:val="32"/>
              <w:szCs w:val="32"/>
            </w:rPr>
            <w:instrText xml:space="preserve"> PAGEREF _Toc21090 \h </w:instrText>
          </w:r>
          <w:r>
            <w:rPr>
              <w:sz w:val="32"/>
              <w:szCs w:val="32"/>
            </w:rPr>
            <w:fldChar w:fldCharType="separate"/>
          </w:r>
          <w:r>
            <w:rPr>
              <w:sz w:val="32"/>
              <w:szCs w:val="32"/>
            </w:rPr>
            <w:t>1</w:t>
          </w:r>
          <w:r>
            <w:rPr>
              <w:sz w:val="32"/>
              <w:szCs w:val="32"/>
            </w:rPr>
            <w:fldChar w:fldCharType="end"/>
          </w:r>
          <w:r>
            <w:rPr>
              <w:rFonts w:hint="eastAsia" w:ascii="宋体" w:hAnsi="宋体" w:eastAsia="宋体" w:cs="宋体"/>
              <w:bCs/>
              <w:sz w:val="32"/>
              <w:szCs w:val="32"/>
            </w:rPr>
            <w:fldChar w:fldCharType="end"/>
          </w:r>
        </w:p>
        <w:p w14:paraId="33BC4E74">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_Toc129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（一）机构设置及职责工作任务情况</w:t>
          </w:r>
          <w:r>
            <w:rPr>
              <w:sz w:val="32"/>
              <w:szCs w:val="32"/>
            </w:rPr>
            <w:tab/>
          </w:r>
          <w:r>
            <w:rPr>
              <w:sz w:val="32"/>
              <w:szCs w:val="32"/>
            </w:rPr>
            <w:fldChar w:fldCharType="begin"/>
          </w:r>
          <w:r>
            <w:rPr>
              <w:sz w:val="32"/>
              <w:szCs w:val="32"/>
            </w:rPr>
            <w:instrText xml:space="preserve"> PAGEREF _Toc129 \h </w:instrText>
          </w:r>
          <w:r>
            <w:rPr>
              <w:sz w:val="32"/>
              <w:szCs w:val="32"/>
            </w:rPr>
            <w:fldChar w:fldCharType="separate"/>
          </w:r>
          <w:r>
            <w:rPr>
              <w:sz w:val="32"/>
              <w:szCs w:val="32"/>
            </w:rPr>
            <w:t>1</w:t>
          </w:r>
          <w:r>
            <w:rPr>
              <w:sz w:val="32"/>
              <w:szCs w:val="32"/>
            </w:rPr>
            <w:fldChar w:fldCharType="end"/>
          </w:r>
          <w:r>
            <w:rPr>
              <w:rFonts w:hint="eastAsia" w:ascii="宋体" w:hAnsi="宋体" w:eastAsia="宋体" w:cs="宋体"/>
              <w:bCs/>
              <w:sz w:val="32"/>
              <w:szCs w:val="32"/>
            </w:rPr>
            <w:fldChar w:fldCharType="end"/>
          </w:r>
        </w:p>
        <w:p w14:paraId="03F4DFFC">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_Toc27365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（二）部门整体绩效目标设立情况</w:t>
          </w:r>
          <w:r>
            <w:rPr>
              <w:sz w:val="32"/>
              <w:szCs w:val="32"/>
            </w:rPr>
            <w:tab/>
          </w:r>
          <w:r>
            <w:rPr>
              <w:sz w:val="32"/>
              <w:szCs w:val="32"/>
            </w:rPr>
            <w:fldChar w:fldCharType="begin"/>
          </w:r>
          <w:r>
            <w:rPr>
              <w:sz w:val="32"/>
              <w:szCs w:val="32"/>
            </w:rPr>
            <w:instrText xml:space="preserve"> PAGEREF _Toc27365 \h </w:instrText>
          </w:r>
          <w:r>
            <w:rPr>
              <w:sz w:val="32"/>
              <w:szCs w:val="32"/>
            </w:rPr>
            <w:fldChar w:fldCharType="separate"/>
          </w:r>
          <w:r>
            <w:rPr>
              <w:sz w:val="32"/>
              <w:szCs w:val="32"/>
            </w:rPr>
            <w:t>2</w:t>
          </w:r>
          <w:r>
            <w:rPr>
              <w:sz w:val="32"/>
              <w:szCs w:val="32"/>
            </w:rPr>
            <w:fldChar w:fldCharType="end"/>
          </w:r>
          <w:r>
            <w:rPr>
              <w:rFonts w:hint="eastAsia" w:ascii="宋体" w:hAnsi="宋体" w:eastAsia="宋体" w:cs="宋体"/>
              <w:bCs/>
              <w:sz w:val="32"/>
              <w:szCs w:val="32"/>
            </w:rPr>
            <w:fldChar w:fldCharType="end"/>
          </w:r>
        </w:p>
        <w:p w14:paraId="1D98BBF2">
          <w:pPr>
            <w:pStyle w:val="19"/>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_Toc9827 </w:instrText>
          </w:r>
          <w:r>
            <w:rPr>
              <w:rFonts w:hint="eastAsia" w:ascii="宋体" w:hAnsi="宋体" w:eastAsia="宋体" w:cs="宋体"/>
              <w:bCs/>
              <w:sz w:val="32"/>
              <w:szCs w:val="32"/>
            </w:rPr>
            <w:fldChar w:fldCharType="separate"/>
          </w:r>
          <w:r>
            <w:rPr>
              <w:rFonts w:hint="eastAsia" w:ascii="黑体" w:hAnsi="黑体" w:eastAsia="黑体" w:cs="黑体"/>
              <w:bCs/>
              <w:sz w:val="32"/>
              <w:szCs w:val="32"/>
            </w:rPr>
            <w:t>二、当年预算执行情况</w:t>
          </w:r>
          <w:r>
            <w:rPr>
              <w:sz w:val="32"/>
              <w:szCs w:val="32"/>
            </w:rPr>
            <w:tab/>
          </w:r>
          <w:r>
            <w:rPr>
              <w:sz w:val="32"/>
              <w:szCs w:val="32"/>
            </w:rPr>
            <w:fldChar w:fldCharType="begin"/>
          </w:r>
          <w:r>
            <w:rPr>
              <w:sz w:val="32"/>
              <w:szCs w:val="32"/>
            </w:rPr>
            <w:instrText xml:space="preserve"> PAGEREF _Toc9827 \h </w:instrText>
          </w:r>
          <w:r>
            <w:rPr>
              <w:sz w:val="32"/>
              <w:szCs w:val="32"/>
            </w:rPr>
            <w:fldChar w:fldCharType="separate"/>
          </w:r>
          <w:r>
            <w:rPr>
              <w:sz w:val="32"/>
              <w:szCs w:val="32"/>
            </w:rPr>
            <w:t>9</w:t>
          </w:r>
          <w:r>
            <w:rPr>
              <w:sz w:val="32"/>
              <w:szCs w:val="32"/>
            </w:rPr>
            <w:fldChar w:fldCharType="end"/>
          </w:r>
          <w:r>
            <w:rPr>
              <w:rFonts w:hint="eastAsia" w:ascii="宋体" w:hAnsi="宋体" w:eastAsia="宋体" w:cs="宋体"/>
              <w:bCs/>
              <w:sz w:val="32"/>
              <w:szCs w:val="32"/>
            </w:rPr>
            <w:fldChar w:fldCharType="end"/>
          </w:r>
        </w:p>
        <w:p w14:paraId="23AED795">
          <w:pPr>
            <w:pStyle w:val="19"/>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_Toc14616 </w:instrText>
          </w:r>
          <w:r>
            <w:rPr>
              <w:rFonts w:hint="eastAsia" w:ascii="宋体" w:hAnsi="宋体" w:eastAsia="宋体" w:cs="宋体"/>
              <w:bCs/>
              <w:sz w:val="32"/>
              <w:szCs w:val="32"/>
            </w:rPr>
            <w:fldChar w:fldCharType="separate"/>
          </w:r>
          <w:r>
            <w:rPr>
              <w:rFonts w:hint="eastAsia" w:ascii="黑体" w:hAnsi="黑体" w:eastAsia="黑体" w:cs="黑体"/>
              <w:bCs/>
              <w:sz w:val="32"/>
              <w:szCs w:val="32"/>
            </w:rPr>
            <w:t>三、整体绩效目标实现情况</w:t>
          </w:r>
          <w:r>
            <w:rPr>
              <w:sz w:val="32"/>
              <w:szCs w:val="32"/>
            </w:rPr>
            <w:tab/>
          </w:r>
          <w:r>
            <w:rPr>
              <w:sz w:val="32"/>
              <w:szCs w:val="32"/>
            </w:rPr>
            <w:fldChar w:fldCharType="begin"/>
          </w:r>
          <w:r>
            <w:rPr>
              <w:sz w:val="32"/>
              <w:szCs w:val="32"/>
            </w:rPr>
            <w:instrText xml:space="preserve"> PAGEREF _Toc14616 \h </w:instrText>
          </w:r>
          <w:r>
            <w:rPr>
              <w:sz w:val="32"/>
              <w:szCs w:val="32"/>
            </w:rPr>
            <w:fldChar w:fldCharType="separate"/>
          </w:r>
          <w:r>
            <w:rPr>
              <w:sz w:val="32"/>
              <w:szCs w:val="32"/>
            </w:rPr>
            <w:t>10</w:t>
          </w:r>
          <w:r>
            <w:rPr>
              <w:sz w:val="32"/>
              <w:szCs w:val="32"/>
            </w:rPr>
            <w:fldChar w:fldCharType="end"/>
          </w:r>
          <w:r>
            <w:rPr>
              <w:rFonts w:hint="eastAsia" w:ascii="宋体" w:hAnsi="宋体" w:eastAsia="宋体" w:cs="宋体"/>
              <w:bCs/>
              <w:sz w:val="32"/>
              <w:szCs w:val="32"/>
            </w:rPr>
            <w:fldChar w:fldCharType="end"/>
          </w:r>
        </w:p>
        <w:p w14:paraId="62532150">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_Toc20960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(一)产出完成情况分析</w:t>
          </w:r>
          <w:r>
            <w:rPr>
              <w:sz w:val="32"/>
              <w:szCs w:val="32"/>
            </w:rPr>
            <w:tab/>
          </w:r>
          <w:r>
            <w:rPr>
              <w:sz w:val="32"/>
              <w:szCs w:val="32"/>
            </w:rPr>
            <w:fldChar w:fldCharType="begin"/>
          </w:r>
          <w:r>
            <w:rPr>
              <w:sz w:val="32"/>
              <w:szCs w:val="32"/>
            </w:rPr>
            <w:instrText xml:space="preserve"> PAGEREF _Toc20960 \h </w:instrText>
          </w:r>
          <w:r>
            <w:rPr>
              <w:sz w:val="32"/>
              <w:szCs w:val="32"/>
            </w:rPr>
            <w:fldChar w:fldCharType="separate"/>
          </w:r>
          <w:r>
            <w:rPr>
              <w:sz w:val="32"/>
              <w:szCs w:val="32"/>
            </w:rPr>
            <w:t>10</w:t>
          </w:r>
          <w:r>
            <w:rPr>
              <w:sz w:val="32"/>
              <w:szCs w:val="32"/>
            </w:rPr>
            <w:fldChar w:fldCharType="end"/>
          </w:r>
          <w:r>
            <w:rPr>
              <w:rFonts w:hint="eastAsia" w:ascii="宋体" w:hAnsi="宋体" w:eastAsia="宋体" w:cs="宋体"/>
              <w:bCs/>
              <w:sz w:val="32"/>
              <w:szCs w:val="32"/>
            </w:rPr>
            <w:fldChar w:fldCharType="end"/>
          </w:r>
        </w:p>
        <w:p w14:paraId="0E5E71B0">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_Toc29569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(二)效果实现情况分析</w:t>
          </w:r>
          <w:r>
            <w:rPr>
              <w:sz w:val="32"/>
              <w:szCs w:val="32"/>
            </w:rPr>
            <w:tab/>
          </w:r>
          <w:r>
            <w:rPr>
              <w:sz w:val="32"/>
              <w:szCs w:val="32"/>
            </w:rPr>
            <w:fldChar w:fldCharType="begin"/>
          </w:r>
          <w:r>
            <w:rPr>
              <w:sz w:val="32"/>
              <w:szCs w:val="32"/>
            </w:rPr>
            <w:instrText xml:space="preserve"> PAGEREF _Toc29569 \h </w:instrText>
          </w:r>
          <w:r>
            <w:rPr>
              <w:sz w:val="32"/>
              <w:szCs w:val="32"/>
            </w:rPr>
            <w:fldChar w:fldCharType="separate"/>
          </w:r>
          <w:r>
            <w:rPr>
              <w:sz w:val="32"/>
              <w:szCs w:val="32"/>
            </w:rPr>
            <w:t>10</w:t>
          </w:r>
          <w:r>
            <w:rPr>
              <w:sz w:val="32"/>
              <w:szCs w:val="32"/>
            </w:rPr>
            <w:fldChar w:fldCharType="end"/>
          </w:r>
          <w:r>
            <w:rPr>
              <w:rFonts w:hint="eastAsia" w:ascii="宋体" w:hAnsi="宋体" w:eastAsia="宋体" w:cs="宋体"/>
              <w:bCs/>
              <w:sz w:val="32"/>
              <w:szCs w:val="32"/>
            </w:rPr>
            <w:fldChar w:fldCharType="end"/>
          </w:r>
        </w:p>
        <w:p w14:paraId="7A6B70DD">
          <w:pPr>
            <w:pStyle w:val="19"/>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_Toc28325 </w:instrText>
          </w:r>
          <w:r>
            <w:rPr>
              <w:rFonts w:hint="eastAsia" w:ascii="宋体" w:hAnsi="宋体" w:eastAsia="宋体" w:cs="宋体"/>
              <w:bCs/>
              <w:sz w:val="32"/>
              <w:szCs w:val="32"/>
            </w:rPr>
            <w:fldChar w:fldCharType="separate"/>
          </w:r>
          <w:r>
            <w:rPr>
              <w:rFonts w:hint="eastAsia" w:ascii="黑体" w:hAnsi="黑体" w:eastAsia="黑体" w:cs="黑体"/>
              <w:bCs/>
              <w:sz w:val="32"/>
              <w:szCs w:val="32"/>
              <w:lang w:val="en-US" w:eastAsia="zh-CN"/>
            </w:rPr>
            <w:t>四、预算管理情况</w:t>
          </w:r>
          <w:r>
            <w:rPr>
              <w:sz w:val="32"/>
              <w:szCs w:val="32"/>
            </w:rPr>
            <w:tab/>
          </w:r>
          <w:r>
            <w:rPr>
              <w:sz w:val="32"/>
              <w:szCs w:val="32"/>
            </w:rPr>
            <w:fldChar w:fldCharType="begin"/>
          </w:r>
          <w:r>
            <w:rPr>
              <w:sz w:val="32"/>
              <w:szCs w:val="32"/>
            </w:rPr>
            <w:instrText xml:space="preserve"> PAGEREF _Toc28325 \h </w:instrText>
          </w:r>
          <w:r>
            <w:rPr>
              <w:sz w:val="32"/>
              <w:szCs w:val="32"/>
            </w:rPr>
            <w:fldChar w:fldCharType="separate"/>
          </w:r>
          <w:r>
            <w:rPr>
              <w:sz w:val="32"/>
              <w:szCs w:val="32"/>
            </w:rPr>
            <w:t>15</w:t>
          </w:r>
          <w:r>
            <w:rPr>
              <w:sz w:val="32"/>
              <w:szCs w:val="32"/>
            </w:rPr>
            <w:fldChar w:fldCharType="end"/>
          </w:r>
          <w:r>
            <w:rPr>
              <w:rFonts w:hint="eastAsia" w:ascii="宋体" w:hAnsi="宋体" w:eastAsia="宋体" w:cs="宋体"/>
              <w:bCs/>
              <w:sz w:val="32"/>
              <w:szCs w:val="32"/>
            </w:rPr>
            <w:fldChar w:fldCharType="end"/>
          </w:r>
        </w:p>
        <w:p w14:paraId="3528FE73">
          <w:pPr>
            <w:pStyle w:val="19"/>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_Toc12625 </w:instrText>
          </w:r>
          <w:r>
            <w:rPr>
              <w:rFonts w:hint="eastAsia" w:ascii="宋体" w:hAnsi="宋体" w:eastAsia="宋体" w:cs="宋体"/>
              <w:bCs/>
              <w:sz w:val="32"/>
              <w:szCs w:val="32"/>
            </w:rPr>
            <w:fldChar w:fldCharType="separate"/>
          </w:r>
          <w:r>
            <w:rPr>
              <w:rFonts w:hint="eastAsia" w:ascii="黑体" w:hAnsi="黑体" w:eastAsia="黑体" w:cs="黑体"/>
              <w:bCs/>
              <w:sz w:val="32"/>
              <w:szCs w:val="32"/>
            </w:rPr>
            <w:t>五、</w:t>
          </w:r>
          <w:r>
            <w:rPr>
              <w:rFonts w:hint="eastAsia" w:ascii="黑体" w:hAnsi="黑体" w:eastAsia="黑体" w:cs="黑体"/>
              <w:bCs/>
              <w:sz w:val="32"/>
              <w:szCs w:val="32"/>
              <w:lang w:val="en-US" w:eastAsia="zh-CN"/>
            </w:rPr>
            <w:t>总体评价结论</w:t>
          </w:r>
          <w:r>
            <w:rPr>
              <w:sz w:val="32"/>
              <w:szCs w:val="32"/>
            </w:rPr>
            <w:tab/>
          </w:r>
          <w:r>
            <w:rPr>
              <w:sz w:val="32"/>
              <w:szCs w:val="32"/>
            </w:rPr>
            <w:fldChar w:fldCharType="begin"/>
          </w:r>
          <w:r>
            <w:rPr>
              <w:sz w:val="32"/>
              <w:szCs w:val="32"/>
            </w:rPr>
            <w:instrText xml:space="preserve"> PAGEREF _Toc12625 \h </w:instrText>
          </w:r>
          <w:r>
            <w:rPr>
              <w:sz w:val="32"/>
              <w:szCs w:val="32"/>
            </w:rPr>
            <w:fldChar w:fldCharType="separate"/>
          </w:r>
          <w:r>
            <w:rPr>
              <w:sz w:val="32"/>
              <w:szCs w:val="32"/>
            </w:rPr>
            <w:t>18</w:t>
          </w:r>
          <w:r>
            <w:rPr>
              <w:sz w:val="32"/>
              <w:szCs w:val="32"/>
            </w:rPr>
            <w:fldChar w:fldCharType="end"/>
          </w:r>
          <w:r>
            <w:rPr>
              <w:rFonts w:hint="eastAsia" w:ascii="宋体" w:hAnsi="宋体" w:eastAsia="宋体" w:cs="宋体"/>
              <w:bCs/>
              <w:sz w:val="32"/>
              <w:szCs w:val="32"/>
            </w:rPr>
            <w:fldChar w:fldCharType="end"/>
          </w:r>
        </w:p>
        <w:p w14:paraId="3C6BA39B">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_Toc4207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（一）评价得分情况</w:t>
          </w:r>
          <w:r>
            <w:rPr>
              <w:sz w:val="32"/>
              <w:szCs w:val="32"/>
            </w:rPr>
            <w:tab/>
          </w:r>
          <w:r>
            <w:rPr>
              <w:sz w:val="32"/>
              <w:szCs w:val="32"/>
            </w:rPr>
            <w:fldChar w:fldCharType="begin"/>
          </w:r>
          <w:r>
            <w:rPr>
              <w:sz w:val="32"/>
              <w:szCs w:val="32"/>
            </w:rPr>
            <w:instrText xml:space="preserve"> PAGEREF _Toc4207 \h </w:instrText>
          </w:r>
          <w:r>
            <w:rPr>
              <w:sz w:val="32"/>
              <w:szCs w:val="32"/>
            </w:rPr>
            <w:fldChar w:fldCharType="separate"/>
          </w:r>
          <w:r>
            <w:rPr>
              <w:sz w:val="32"/>
              <w:szCs w:val="32"/>
            </w:rPr>
            <w:t>18</w:t>
          </w:r>
          <w:r>
            <w:rPr>
              <w:sz w:val="32"/>
              <w:szCs w:val="32"/>
            </w:rPr>
            <w:fldChar w:fldCharType="end"/>
          </w:r>
          <w:r>
            <w:rPr>
              <w:rFonts w:hint="eastAsia" w:ascii="宋体" w:hAnsi="宋体" w:eastAsia="宋体" w:cs="宋体"/>
              <w:bCs/>
              <w:sz w:val="32"/>
              <w:szCs w:val="32"/>
            </w:rPr>
            <w:fldChar w:fldCharType="end"/>
          </w:r>
        </w:p>
        <w:p w14:paraId="39103146">
          <w:pPr>
            <w:pStyle w:val="19"/>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_Toc29538 </w:instrText>
          </w:r>
          <w:r>
            <w:rPr>
              <w:rFonts w:hint="eastAsia" w:ascii="宋体" w:hAnsi="宋体" w:eastAsia="宋体" w:cs="宋体"/>
              <w:bCs/>
              <w:sz w:val="32"/>
              <w:szCs w:val="32"/>
            </w:rPr>
            <w:fldChar w:fldCharType="separate"/>
          </w:r>
          <w:r>
            <w:rPr>
              <w:rFonts w:hint="eastAsia" w:ascii="黑体" w:hAnsi="黑体" w:eastAsia="黑体" w:cs="黑体"/>
              <w:bCs/>
              <w:sz w:val="32"/>
              <w:szCs w:val="32"/>
            </w:rPr>
            <w:t>六、</w:t>
          </w:r>
          <w:r>
            <w:rPr>
              <w:rFonts w:hint="eastAsia" w:ascii="黑体" w:hAnsi="黑体" w:eastAsia="黑体" w:cs="黑体"/>
              <w:bCs/>
              <w:sz w:val="32"/>
              <w:szCs w:val="32"/>
              <w:lang w:val="en-US" w:eastAsia="zh-CN"/>
            </w:rPr>
            <w:t>措施</w:t>
          </w:r>
          <w:r>
            <w:rPr>
              <w:rFonts w:hint="eastAsia" w:ascii="黑体" w:hAnsi="黑体" w:eastAsia="黑体" w:cs="黑体"/>
              <w:bCs/>
              <w:sz w:val="32"/>
              <w:szCs w:val="32"/>
            </w:rPr>
            <w:t>建议</w:t>
          </w:r>
          <w:r>
            <w:rPr>
              <w:sz w:val="32"/>
              <w:szCs w:val="32"/>
            </w:rPr>
            <w:tab/>
          </w:r>
          <w:r>
            <w:rPr>
              <w:sz w:val="32"/>
              <w:szCs w:val="32"/>
            </w:rPr>
            <w:fldChar w:fldCharType="begin"/>
          </w:r>
          <w:r>
            <w:rPr>
              <w:sz w:val="32"/>
              <w:szCs w:val="32"/>
            </w:rPr>
            <w:instrText xml:space="preserve"> PAGEREF _Toc29538 \h </w:instrText>
          </w:r>
          <w:r>
            <w:rPr>
              <w:sz w:val="32"/>
              <w:szCs w:val="32"/>
            </w:rPr>
            <w:fldChar w:fldCharType="separate"/>
          </w:r>
          <w:r>
            <w:rPr>
              <w:sz w:val="32"/>
              <w:szCs w:val="32"/>
            </w:rPr>
            <w:t>20</w:t>
          </w:r>
          <w:r>
            <w:rPr>
              <w:sz w:val="32"/>
              <w:szCs w:val="32"/>
            </w:rPr>
            <w:fldChar w:fldCharType="end"/>
          </w:r>
          <w:r>
            <w:rPr>
              <w:rFonts w:hint="eastAsia" w:ascii="宋体" w:hAnsi="宋体" w:eastAsia="宋体" w:cs="宋体"/>
              <w:bCs/>
              <w:sz w:val="32"/>
              <w:szCs w:val="32"/>
            </w:rPr>
            <w:fldChar w:fldCharType="end"/>
          </w:r>
        </w:p>
        <w:p w14:paraId="5AD28091">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_Toc10391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（一）科学设置绩效指标</w:t>
          </w:r>
          <w:r>
            <w:rPr>
              <w:sz w:val="32"/>
              <w:szCs w:val="32"/>
            </w:rPr>
            <w:tab/>
          </w:r>
          <w:r>
            <w:rPr>
              <w:sz w:val="32"/>
              <w:szCs w:val="32"/>
            </w:rPr>
            <w:fldChar w:fldCharType="begin"/>
          </w:r>
          <w:r>
            <w:rPr>
              <w:sz w:val="32"/>
              <w:szCs w:val="32"/>
            </w:rPr>
            <w:instrText xml:space="preserve"> PAGEREF _Toc10391 \h </w:instrText>
          </w:r>
          <w:r>
            <w:rPr>
              <w:sz w:val="32"/>
              <w:szCs w:val="32"/>
            </w:rPr>
            <w:fldChar w:fldCharType="separate"/>
          </w:r>
          <w:r>
            <w:rPr>
              <w:sz w:val="32"/>
              <w:szCs w:val="32"/>
            </w:rPr>
            <w:t>20</w:t>
          </w:r>
          <w:r>
            <w:rPr>
              <w:sz w:val="32"/>
              <w:szCs w:val="32"/>
            </w:rPr>
            <w:fldChar w:fldCharType="end"/>
          </w:r>
          <w:r>
            <w:rPr>
              <w:rFonts w:hint="eastAsia" w:ascii="宋体" w:hAnsi="宋体" w:eastAsia="宋体" w:cs="宋体"/>
              <w:bCs/>
              <w:sz w:val="32"/>
              <w:szCs w:val="32"/>
            </w:rPr>
            <w:fldChar w:fldCharType="end"/>
          </w:r>
        </w:p>
        <w:p w14:paraId="2F51C7C2">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_Toc4602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（二）建立健全内控制度</w:t>
          </w:r>
          <w:r>
            <w:rPr>
              <w:sz w:val="32"/>
              <w:szCs w:val="32"/>
            </w:rPr>
            <w:tab/>
          </w:r>
          <w:r>
            <w:rPr>
              <w:sz w:val="32"/>
              <w:szCs w:val="32"/>
            </w:rPr>
            <w:fldChar w:fldCharType="begin"/>
          </w:r>
          <w:r>
            <w:rPr>
              <w:sz w:val="32"/>
              <w:szCs w:val="32"/>
            </w:rPr>
            <w:instrText xml:space="preserve"> PAGEREF _Toc4602 \h </w:instrText>
          </w:r>
          <w:r>
            <w:rPr>
              <w:sz w:val="32"/>
              <w:szCs w:val="32"/>
            </w:rPr>
            <w:fldChar w:fldCharType="separate"/>
          </w:r>
          <w:r>
            <w:rPr>
              <w:sz w:val="32"/>
              <w:szCs w:val="32"/>
            </w:rPr>
            <w:t>20</w:t>
          </w:r>
          <w:r>
            <w:rPr>
              <w:sz w:val="32"/>
              <w:szCs w:val="32"/>
            </w:rPr>
            <w:fldChar w:fldCharType="end"/>
          </w:r>
          <w:r>
            <w:rPr>
              <w:rFonts w:hint="eastAsia" w:ascii="宋体" w:hAnsi="宋体" w:eastAsia="宋体" w:cs="宋体"/>
              <w:bCs/>
              <w:sz w:val="32"/>
              <w:szCs w:val="32"/>
            </w:rPr>
            <w:fldChar w:fldCharType="end"/>
          </w:r>
        </w:p>
        <w:p w14:paraId="0F7362B8">
          <w:pPr>
            <w:pStyle w:val="21"/>
            <w:tabs>
              <w:tab w:val="right" w:leader="dot" w:pos="8306"/>
            </w:tabs>
            <w:rPr>
              <w:sz w:val="32"/>
              <w:szCs w:val="32"/>
            </w:rPr>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_Toc4409 </w:instrText>
          </w:r>
          <w:r>
            <w:rPr>
              <w:rFonts w:hint="eastAsia" w:ascii="宋体" w:hAnsi="宋体" w:eastAsia="宋体" w:cs="宋体"/>
              <w:bCs/>
              <w:sz w:val="32"/>
              <w:szCs w:val="32"/>
            </w:rPr>
            <w:fldChar w:fldCharType="separate"/>
          </w:r>
          <w:r>
            <w:rPr>
              <w:rFonts w:hint="eastAsia" w:ascii="楷体_GB2312" w:hAnsi="楷体_GB2312" w:eastAsia="楷体_GB2312" w:cs="楷体_GB2312"/>
              <w:bCs/>
              <w:kern w:val="2"/>
              <w:sz w:val="32"/>
              <w:szCs w:val="32"/>
              <w:lang w:val="en-US" w:eastAsia="zh-CN" w:bidi="ar-SA"/>
            </w:rPr>
            <w:t>（三）牢固树立“花钱必问效，无效必问责”意识</w:t>
          </w:r>
          <w:r>
            <w:rPr>
              <w:sz w:val="32"/>
              <w:szCs w:val="32"/>
            </w:rPr>
            <w:tab/>
          </w:r>
          <w:r>
            <w:rPr>
              <w:sz w:val="32"/>
              <w:szCs w:val="32"/>
            </w:rPr>
            <w:fldChar w:fldCharType="begin"/>
          </w:r>
          <w:r>
            <w:rPr>
              <w:sz w:val="32"/>
              <w:szCs w:val="32"/>
            </w:rPr>
            <w:instrText xml:space="preserve"> PAGEREF _Toc4409 \h </w:instrText>
          </w:r>
          <w:r>
            <w:rPr>
              <w:sz w:val="32"/>
              <w:szCs w:val="32"/>
            </w:rPr>
            <w:fldChar w:fldCharType="separate"/>
          </w:r>
          <w:r>
            <w:rPr>
              <w:sz w:val="32"/>
              <w:szCs w:val="32"/>
            </w:rPr>
            <w:t>21</w:t>
          </w:r>
          <w:r>
            <w:rPr>
              <w:sz w:val="32"/>
              <w:szCs w:val="32"/>
            </w:rPr>
            <w:fldChar w:fldCharType="end"/>
          </w:r>
          <w:r>
            <w:rPr>
              <w:rFonts w:hint="eastAsia" w:ascii="宋体" w:hAnsi="宋体" w:eastAsia="宋体" w:cs="宋体"/>
              <w:bCs/>
              <w:sz w:val="32"/>
              <w:szCs w:val="32"/>
            </w:rPr>
            <w:fldChar w:fldCharType="end"/>
          </w:r>
        </w:p>
        <w:p w14:paraId="53CABBE3">
          <w:pPr>
            <w:pStyle w:val="19"/>
            <w:tabs>
              <w:tab w:val="right" w:leader="dot" w:pos="8306"/>
            </w:tabs>
          </w:pP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\l _Toc7671 </w:instrText>
          </w:r>
          <w:r>
            <w:rPr>
              <w:rFonts w:hint="eastAsia" w:ascii="宋体" w:hAnsi="宋体" w:eastAsia="宋体" w:cs="宋体"/>
              <w:bCs/>
              <w:sz w:val="32"/>
              <w:szCs w:val="32"/>
            </w:rPr>
            <w:fldChar w:fldCharType="separate"/>
          </w:r>
          <w:r>
            <w:rPr>
              <w:rFonts w:hint="eastAsia"/>
              <w:sz w:val="32"/>
              <w:szCs w:val="32"/>
            </w:rPr>
            <w:t>附件：《北京市投资促进服务中心部门整体绩效评价指标体系》</w:t>
          </w:r>
          <w:r>
            <w:rPr>
              <w:sz w:val="32"/>
              <w:szCs w:val="32"/>
            </w:rPr>
            <w:tab/>
          </w:r>
          <w:r>
            <w:rPr>
              <w:sz w:val="32"/>
              <w:szCs w:val="32"/>
            </w:rPr>
            <w:fldChar w:fldCharType="begin"/>
          </w:r>
          <w:r>
            <w:rPr>
              <w:sz w:val="32"/>
              <w:szCs w:val="32"/>
            </w:rPr>
            <w:instrText xml:space="preserve"> PAGEREF _Toc7671 \h </w:instrText>
          </w:r>
          <w:r>
            <w:rPr>
              <w:sz w:val="32"/>
              <w:szCs w:val="32"/>
            </w:rPr>
            <w:fldChar w:fldCharType="separate"/>
          </w:r>
          <w:r>
            <w:rPr>
              <w:sz w:val="32"/>
              <w:szCs w:val="32"/>
            </w:rPr>
            <w:t>22</w:t>
          </w:r>
          <w:r>
            <w:rPr>
              <w:sz w:val="32"/>
              <w:szCs w:val="32"/>
            </w:rPr>
            <w:fldChar w:fldCharType="end"/>
          </w:r>
          <w:r>
            <w:rPr>
              <w:rFonts w:hint="eastAsia" w:ascii="宋体" w:hAnsi="宋体" w:eastAsia="宋体" w:cs="宋体"/>
              <w:bCs/>
              <w:sz w:val="32"/>
              <w:szCs w:val="32"/>
            </w:rPr>
            <w:fldChar w:fldCharType="end"/>
          </w:r>
        </w:p>
        <w:p w14:paraId="400712A3">
          <w:pPr>
            <w:spacing w:line="600" w:lineRule="exact"/>
            <w:jc w:val="center"/>
            <w:rPr>
              <w:rFonts w:hint="eastAsia"/>
            </w:rPr>
          </w:pPr>
          <w:r>
            <w:rPr>
              <w:rFonts w:hint="eastAsia" w:ascii="宋体" w:hAnsi="宋体" w:eastAsia="宋体" w:cs="宋体"/>
              <w:bCs/>
              <w:szCs w:val="28"/>
            </w:rPr>
            <w:fldChar w:fldCharType="end"/>
          </w:r>
        </w:p>
      </w:sdtContent>
    </w:sdt>
    <w:p w14:paraId="6A62C5AA">
      <w:pPr>
        <w:spacing w:line="600" w:lineRule="exact"/>
        <w:jc w:val="center"/>
        <w:rPr>
          <w:rFonts w:hint="eastAsia"/>
        </w:rPr>
      </w:pPr>
    </w:p>
    <w:p w14:paraId="6A45EB6A">
      <w:pPr>
        <w:spacing w:line="600" w:lineRule="exact"/>
        <w:rPr>
          <w:rFonts w:hint="eastAsia"/>
        </w:rPr>
      </w:pPr>
    </w:p>
    <w:p w14:paraId="1765277D">
      <w:pPr>
        <w:jc w:val="center"/>
        <w:rPr>
          <w:rFonts w:hint="eastAsia" w:ascii="宋体" w:hAnsi="宋体" w:cs="Arial"/>
          <w:b/>
          <w:bCs/>
          <w:sz w:val="44"/>
          <w:szCs w:val="44"/>
        </w:rPr>
        <w:sectPr>
          <w:pgSz w:w="11906" w:h="16838"/>
          <w:pgMar w:top="1440" w:right="1800" w:bottom="1440" w:left="1800" w:header="851" w:footer="992" w:gutter="0"/>
          <w:cols w:space="425" w:num="1"/>
          <w:docGrid w:type="lines" w:linePitch="312" w:charSpace="0"/>
        </w:sectPr>
      </w:pPr>
    </w:p>
    <w:p w14:paraId="1EA8A20E">
      <w:pPr>
        <w:jc w:val="center"/>
        <w:rPr>
          <w:rFonts w:hint="eastAsia" w:ascii="黑体" w:hAnsi="黑体" w:eastAsia="黑体" w:cs="黑体"/>
          <w:b/>
          <w:bCs/>
          <w:sz w:val="44"/>
          <w:szCs w:val="44"/>
        </w:rPr>
      </w:pPr>
      <w:r>
        <w:rPr>
          <w:rFonts w:hint="eastAsia" w:ascii="黑体" w:hAnsi="黑体" w:eastAsia="黑体" w:cs="黑体"/>
          <w:b/>
          <w:bCs/>
          <w:sz w:val="44"/>
          <w:szCs w:val="44"/>
        </w:rPr>
        <w:t>北京市投资促进服务中心2024年度</w:t>
      </w:r>
    </w:p>
    <w:p w14:paraId="465DBD0A">
      <w:pPr>
        <w:jc w:val="center"/>
        <w:rPr>
          <w:rFonts w:hint="eastAsia" w:ascii="黑体" w:hAnsi="黑体" w:eastAsia="黑体" w:cs="黑体"/>
          <w:b/>
          <w:bCs/>
          <w:sz w:val="44"/>
          <w:szCs w:val="44"/>
        </w:rPr>
      </w:pPr>
      <w:r>
        <w:rPr>
          <w:rFonts w:hint="eastAsia" w:ascii="黑体" w:hAnsi="黑体" w:eastAsia="黑体" w:cs="黑体"/>
          <w:b/>
          <w:bCs/>
          <w:sz w:val="44"/>
          <w:szCs w:val="44"/>
        </w:rPr>
        <w:t>部门整体支出绩效评价报告</w:t>
      </w:r>
    </w:p>
    <w:p w14:paraId="152A0D31">
      <w:pPr>
        <w:spacing w:line="360" w:lineRule="auto"/>
        <w:ind w:firstLine="640" w:firstLineChars="200"/>
        <w:rPr>
          <w:rFonts w:hint="eastAsia" w:ascii="宋体" w:hAnsi="宋体" w:eastAsia="宋体"/>
          <w:sz w:val="32"/>
          <w:szCs w:val="32"/>
        </w:rPr>
      </w:pPr>
      <w:r>
        <w:rPr>
          <w:rFonts w:hint="eastAsia" w:ascii="方正仿宋_GB2312" w:hAnsi="方正仿宋_GB2312" w:eastAsia="方正仿宋_GB2312" w:cs="方正仿宋_GB2312"/>
          <w:sz w:val="32"/>
          <w:szCs w:val="32"/>
        </w:rPr>
        <w:t>为进一步加强预算绩效管理，强化支出责任，提高财政资金使用效益，考核财政支出效率和综合效果，根据《中共北京市委北京市人民政府关于全面实施预算绩效管理的实施意见》（京发〔2019〕12号）《北京市项目支出绩效评价管理办法》（京财绩效〔2020〕2146号），结合《北京市财政局关于2025年预算绩效管理工作的通知》的工作安排，北京市投资促进服务中心（以下简称“市投资促进中心”）组建绩效评价工作组，对2024年度部门整体实施绩效评价，并形成本绩效评价报告。</w:t>
      </w:r>
    </w:p>
    <w:p w14:paraId="0948BB24">
      <w:pPr>
        <w:pStyle w:val="4"/>
        <w:ind w:firstLine="562"/>
        <w:rPr>
          <w:rFonts w:hint="default" w:ascii="黑体" w:hAnsi="黑体" w:eastAsia="黑体" w:cs="黑体"/>
          <w:b/>
          <w:bCs/>
          <w:sz w:val="32"/>
          <w:szCs w:val="32"/>
          <w:lang w:val="en-US" w:eastAsia="zh-CN"/>
        </w:rPr>
      </w:pPr>
      <w:bookmarkStart w:id="0" w:name="_Toc21090"/>
      <w:r>
        <w:rPr>
          <w:rFonts w:hint="eastAsia" w:ascii="黑体" w:hAnsi="黑体" w:eastAsia="黑体" w:cs="黑体"/>
          <w:b/>
          <w:bCs/>
          <w:sz w:val="32"/>
          <w:szCs w:val="32"/>
        </w:rPr>
        <w:t>一、</w:t>
      </w:r>
      <w:r>
        <w:rPr>
          <w:rFonts w:hint="eastAsia" w:ascii="黑体" w:hAnsi="黑体" w:eastAsia="黑体" w:cs="黑体"/>
          <w:b/>
          <w:bCs/>
          <w:sz w:val="32"/>
          <w:szCs w:val="32"/>
          <w:lang w:val="en-US" w:eastAsia="zh-CN"/>
        </w:rPr>
        <w:t>部门概况</w:t>
      </w:r>
      <w:bookmarkEnd w:id="0"/>
    </w:p>
    <w:p w14:paraId="5042FEBC">
      <w:pPr>
        <w:pStyle w:val="5"/>
        <w:rPr>
          <w:rFonts w:hint="eastAsia" w:ascii="楷体_GB2312" w:hAnsi="楷体_GB2312" w:eastAsia="楷体_GB2312" w:cs="楷体_GB2312"/>
          <w:b/>
          <w:bCs/>
          <w:kern w:val="2"/>
          <w:sz w:val="32"/>
          <w:szCs w:val="32"/>
          <w:lang w:val="en-US" w:eastAsia="zh-CN" w:bidi="ar-SA"/>
        </w:rPr>
      </w:pPr>
      <w:bookmarkStart w:id="1" w:name="_Toc129"/>
      <w:r>
        <w:rPr>
          <w:rFonts w:hint="eastAsia" w:ascii="楷体_GB2312" w:hAnsi="楷体_GB2312" w:eastAsia="楷体_GB2312" w:cs="楷体_GB2312"/>
          <w:b/>
          <w:bCs/>
          <w:kern w:val="2"/>
          <w:sz w:val="32"/>
          <w:szCs w:val="32"/>
          <w:lang w:val="en-US" w:eastAsia="zh-CN" w:bidi="ar-SA"/>
        </w:rPr>
        <w:t>（一）机构设置及职责工作任务情况</w:t>
      </w:r>
      <w:bookmarkEnd w:id="1"/>
    </w:p>
    <w:p w14:paraId="58B50163">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市投资促进中心是负责招商引资、提供投资促进专业化服务的市政府直属公益一类事业单位，机构规格为正局级，加挂北京市外商投资服务中心牌子。</w:t>
      </w:r>
    </w:p>
    <w:p w14:paraId="65E1C1D8">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主要职责：（1）拟订本市招商引资中长期规划。研究提出有关改善本市投资环境的建议；（2）负责开展境内外招商引资网点建设，加强与国际、国内专业机构联络，拓宽招商引资渠道；（3）负责开展全市招商引资政策、资源及投资环境等综合宣传推广工作；（4）协同开展重大项目招商引资，提供落地协调服务；（5）负责汇集整合全市招商推介活动需求，拟订活动计划并协同开展；（6）为境内外投资者和在京企业提供协助、支持和相关服务工作。开展外商投资企业投诉受理相关工作；（7）协调和联系各区及北京经济技术开发区的投资促进工作；（8）完成市委、市政府交办的其他任务。</w:t>
      </w:r>
    </w:p>
    <w:p w14:paraId="790CA64E">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所属事业单位1个，为北京市投资促进综合事务中心</w:t>
      </w:r>
      <w:r>
        <w:rPr>
          <w:rFonts w:hint="eastAsia" w:ascii="方正仿宋_GB2312" w:hAnsi="方正仿宋_GB2312" w:eastAsia="方正仿宋_GB2312" w:cs="方正仿宋_GB2312"/>
          <w:sz w:val="32"/>
          <w:szCs w:val="32"/>
          <w:lang w:eastAsia="zh-CN"/>
        </w:rPr>
        <w:t>。</w:t>
      </w:r>
    </w:p>
    <w:p w14:paraId="5A7AC635">
      <w:pPr>
        <w:pStyle w:val="5"/>
        <w:rPr>
          <w:rFonts w:hint="eastAsia" w:ascii="楷体_GB2312" w:hAnsi="楷体_GB2312" w:eastAsia="楷体_GB2312" w:cs="楷体_GB2312"/>
          <w:b/>
          <w:bCs/>
          <w:kern w:val="2"/>
          <w:sz w:val="32"/>
          <w:szCs w:val="32"/>
          <w:lang w:val="en-US" w:eastAsia="zh-CN" w:bidi="ar-SA"/>
        </w:rPr>
      </w:pPr>
      <w:bookmarkStart w:id="2" w:name="_Toc27365"/>
      <w:r>
        <w:rPr>
          <w:rFonts w:hint="eastAsia" w:ascii="楷体_GB2312" w:hAnsi="楷体_GB2312" w:eastAsia="楷体_GB2312" w:cs="楷体_GB2312"/>
          <w:b/>
          <w:bCs/>
          <w:kern w:val="2"/>
          <w:sz w:val="32"/>
          <w:szCs w:val="32"/>
          <w:lang w:val="en-US" w:eastAsia="zh-CN" w:bidi="ar-SA"/>
        </w:rPr>
        <w:t>（二）部门整体绩效目标设立情况</w:t>
      </w:r>
      <w:bookmarkEnd w:id="2"/>
    </w:p>
    <w:p w14:paraId="3312C5E8">
      <w:pPr>
        <w:pStyle w:val="6"/>
        <w:bidi w:val="0"/>
        <w:ind w:firstLine="643" w:firstLineChars="200"/>
        <w:rPr>
          <w:rFonts w:hint="eastAsia"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1、绩效目标设立依据</w:t>
      </w:r>
    </w:p>
    <w:p w14:paraId="723F2946">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2024年度部门整体绩效目标为：在市委、市政府的坚强领导下，市投资促进服务中心将继续坚决贯彻落实市委、市政府投资促进工作的决策部署，根据2024年投资促进工作任务要求、部门职能进行统筹规划，通过招商引资预期目标任务、重大项目清单、全市招商推介活动计划，加强协调调度、市区协同、部门支持、各区切实落实主体责任，全面推动各项工作的提升，力争取得新进展、新成效。</w:t>
      </w:r>
    </w:p>
    <w:p w14:paraId="4810E355">
      <w:pPr>
        <w:pStyle w:val="6"/>
        <w:bidi w:val="0"/>
        <w:ind w:firstLine="643" w:firstLineChars="200"/>
        <w:rPr>
          <w:rFonts w:hint="default" w:ascii="楷体_GB2312" w:hAnsi="楷体_GB2312" w:eastAsia="楷体_GB2312" w:cs="楷体_GB2312"/>
          <w:b/>
          <w:bCs/>
          <w:color w:val="auto"/>
          <w:kern w:val="2"/>
          <w:sz w:val="32"/>
          <w:szCs w:val="32"/>
          <w:lang w:val="en-US" w:eastAsia="zh-CN" w:bidi="ar-SA"/>
        </w:rPr>
      </w:pPr>
      <w:r>
        <w:rPr>
          <w:rFonts w:hint="eastAsia" w:ascii="楷体_GB2312" w:hAnsi="楷体_GB2312" w:eastAsia="楷体_GB2312" w:cs="楷体_GB2312"/>
          <w:b/>
          <w:bCs/>
          <w:color w:val="auto"/>
          <w:kern w:val="2"/>
          <w:sz w:val="32"/>
          <w:szCs w:val="32"/>
          <w:lang w:val="en-US" w:eastAsia="zh-CN" w:bidi="ar-SA"/>
        </w:rPr>
        <w:t>2、目标与职责任务匹配情况及目标合理性</w:t>
      </w:r>
    </w:p>
    <w:p w14:paraId="58E72BBE">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（1）</w:t>
      </w:r>
      <w:bookmarkStart w:id="3" w:name="_Hlk196801785"/>
      <w:r>
        <w:rPr>
          <w:rFonts w:hint="eastAsia" w:ascii="方正仿宋_GB2312" w:hAnsi="方正仿宋_GB2312" w:eastAsia="方正仿宋_GB2312" w:cs="方正仿宋_GB2312"/>
          <w:sz w:val="32"/>
          <w:szCs w:val="32"/>
          <w:highlight w:val="none"/>
        </w:rPr>
        <w:t>宣传推介北京</w:t>
      </w:r>
      <w:bookmarkEnd w:id="3"/>
    </w:p>
    <w:p w14:paraId="3785EF77">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①北京市对外招商推介宣传片项目</w:t>
      </w:r>
    </w:p>
    <w:p w14:paraId="2840811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数量指标：指标1：宣传片修订中英文长版≤6分钟；指标2：宣传片修订配乐短版≤3分钟；指标3：6大未来产业每集≤5分钟；指标4：产业宣传片≤6分钟。</w:t>
      </w:r>
    </w:p>
    <w:p w14:paraId="4DA55FE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质量指标：为我中心承办、参与的京（境）内外大型投资促进活动提供支持定性优。</w:t>
      </w:r>
    </w:p>
    <w:p w14:paraId="5C5C966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时效指标：配合做好投资北京</w:t>
      </w:r>
      <w:r>
        <w:rPr>
          <w:rFonts w:hint="eastAsia" w:ascii="方正仿宋_GB2312" w:hAnsi="方正仿宋_GB2312" w:eastAsia="方正仿宋_GB2312" w:cs="方正仿宋_GB2312"/>
          <w:sz w:val="32"/>
          <w:szCs w:val="32"/>
          <w:highlight w:val="none"/>
          <w:lang w:eastAsia="zh-CN"/>
        </w:rPr>
        <w:t>全球</w:t>
      </w:r>
      <w:r>
        <w:rPr>
          <w:rFonts w:hint="eastAsia" w:ascii="方正仿宋_GB2312" w:hAnsi="方正仿宋_GB2312" w:eastAsia="方正仿宋_GB2312" w:cs="方正仿宋_GB2312"/>
          <w:sz w:val="32"/>
          <w:szCs w:val="32"/>
          <w:highlight w:val="none"/>
        </w:rPr>
        <w:t>峰会、服贸会</w:t>
      </w:r>
      <w:r>
        <w:rPr>
          <w:rFonts w:hint="eastAsia" w:ascii="方正仿宋_GB2312" w:hAnsi="方正仿宋_GB2312" w:eastAsia="方正仿宋_GB2312" w:cs="方正仿宋_GB2312"/>
          <w:sz w:val="32"/>
          <w:szCs w:val="32"/>
          <w:highlight w:val="none"/>
          <w:lang w:eastAsia="zh-CN"/>
        </w:rPr>
        <w:t>“北京日”活动</w:t>
      </w:r>
      <w:r>
        <w:rPr>
          <w:rFonts w:hint="eastAsia" w:ascii="方正仿宋_GB2312" w:hAnsi="方正仿宋_GB2312" w:eastAsia="方正仿宋_GB2312" w:cs="方正仿宋_GB2312"/>
          <w:sz w:val="32"/>
          <w:szCs w:val="32"/>
          <w:highlight w:val="none"/>
        </w:rPr>
        <w:t>、京港会宣传工作，保持播放场景递增≤5场。</w:t>
      </w:r>
    </w:p>
    <w:p w14:paraId="6703C35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成本指标：控制在预算规模范围内≤150万元。</w:t>
      </w:r>
    </w:p>
    <w:p w14:paraId="1668CD9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社会效益指标：指标1：强化首都投资促进系统的工作统筹定性优；指标2：展示首都投资促进形象，推动北京经济发展定性优；指标3：营造良好的营商环境定性优。</w:t>
      </w:r>
    </w:p>
    <w:p w14:paraId="4DA431E2">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可持续影响指标：持续性营造北京经济发展形象，不断提升营商环境定性优。</w:t>
      </w:r>
    </w:p>
    <w:p w14:paraId="2F1A99FF">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满意度指标：指标1：领导满意度定性优；指标2：投资人、企业满意度定性优。</w:t>
      </w:r>
    </w:p>
    <w:p w14:paraId="2A929EE2">
      <w:pPr>
        <w:pStyle w:val="2"/>
        <w:ind w:left="0" w:leftChars="0" w:firstLine="646" w:firstLineChars="202"/>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lang w:val="en-US" w:eastAsia="zh-CN"/>
        </w:rPr>
        <w:t>②</w:t>
      </w:r>
      <w:r>
        <w:rPr>
          <w:rFonts w:hint="eastAsia" w:ascii="方正仿宋_GB2312" w:hAnsi="方正仿宋_GB2312" w:eastAsia="方正仿宋_GB2312" w:cs="方正仿宋_GB2312"/>
          <w:sz w:val="32"/>
          <w:szCs w:val="32"/>
          <w:highlight w:val="none"/>
        </w:rPr>
        <w:t>新媒体宣传推广项目</w:t>
      </w:r>
    </w:p>
    <w:p w14:paraId="55E6165F">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数量指标：指标1：《投资北京》全年场次4场；指标2：宣传册≥5000个；指标3：抖音原创类短视频≥12条；指标4：矩阵直播＝12场。</w:t>
      </w:r>
    </w:p>
    <w:p w14:paraId="76F52548">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质量指标：进一步加强与各区投促部门协作，宣传、展示北京经济形象，吸引优质项目落户定性优。</w:t>
      </w:r>
    </w:p>
    <w:p w14:paraId="35A4352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时效指标：访谈节目成品需在规定时间内上传≤7天。</w:t>
      </w:r>
    </w:p>
    <w:p w14:paraId="779774D3">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成本指标：控制在预算规模范围内≤492515元。</w:t>
      </w:r>
    </w:p>
    <w:p w14:paraId="0869BF3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社会效益指标：指标1：展示首都投资促进形象，推动北京经济发展定性优；指标2：营造良好的营商环境定性优。</w:t>
      </w:r>
    </w:p>
    <w:p w14:paraId="5BD843B7">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服务对象满意度指标：投资人、企业满意度定性优。</w:t>
      </w:r>
    </w:p>
    <w:p w14:paraId="12AAB4E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③投资北京宣传资料项目</w:t>
      </w:r>
    </w:p>
    <w:p w14:paraId="39EB9BB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数量指标：指标1：完成政策汇编文件、规则应用实务指南报告数量2篇；指标2：编印RCEP政策汇编及规则指南数量1000册；指标3：《2024年投资北京·北京外商投资指南》中英文版成品6000册。</w:t>
      </w:r>
    </w:p>
    <w:p w14:paraId="1EC1E7D1">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质量指标：进一步加强与各区投促部门协作，宣传、展示北京经济形象，吸引优质项目落户定性优。</w:t>
      </w:r>
    </w:p>
    <w:p w14:paraId="0FE70E1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时效指标：宣传、展示北京经济形象，吸引优质项目落户定性优。</w:t>
      </w:r>
    </w:p>
    <w:p w14:paraId="2E13BDE1">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社会效益指标：指标1：提高市投资促进中心影响力，有效提升全市“两区”招商引资工作和投资促进工作效率，正向促进投资和招商项目进展定性优；指标2：营造良好的营商定性优。</w:t>
      </w:r>
    </w:p>
    <w:p w14:paraId="46682573">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可持续影响指标：持续性营造北京经济发展形象定性优</w:t>
      </w:r>
    </w:p>
    <w:p w14:paraId="247175E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服务对象满意度指标：企业使用满意度定性优。</w:t>
      </w:r>
    </w:p>
    <w:p w14:paraId="2FC529E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（2）招商引资活动</w:t>
      </w:r>
    </w:p>
    <w:p w14:paraId="39E5A75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①境内投资推介系列活动项目</w:t>
      </w:r>
    </w:p>
    <w:p w14:paraId="3A506F78">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数量指标：指标1：举办招商引资推介活动≥6场次；指标2：累计组织企业参会人次≥100家。</w:t>
      </w:r>
    </w:p>
    <w:p w14:paraId="3AD12C68">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质量指标：指标1：投资人和企业积极参与程度定性较高；指标2：促进招商引资的项目质量定性符合首都城市战略定位。</w:t>
      </w:r>
    </w:p>
    <w:p w14:paraId="05A15525">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时效指标：项目时间进度指标。</w:t>
      </w:r>
    </w:p>
    <w:p w14:paraId="194C2B3C">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成本指标：总成本控制在项目预算批复额度以内≤2125299元。</w:t>
      </w:r>
    </w:p>
    <w:p w14:paraId="1A23588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经济效益指标：</w:t>
      </w:r>
      <w:r>
        <w:rPr>
          <w:rFonts w:hint="eastAsia" w:ascii="方正仿宋_GB2312" w:hAnsi="方正仿宋_GB2312" w:eastAsia="方正仿宋_GB2312" w:cs="方正仿宋_GB2312"/>
          <w:sz w:val="32"/>
          <w:szCs w:val="32"/>
          <w:highlight w:val="none"/>
          <w:lang w:eastAsia="zh-CN"/>
        </w:rPr>
        <w:t>促进</w:t>
      </w:r>
      <w:r>
        <w:rPr>
          <w:rFonts w:hint="eastAsia" w:ascii="方正仿宋_GB2312" w:hAnsi="方正仿宋_GB2312" w:eastAsia="方正仿宋_GB2312" w:cs="方正仿宋_GB2312"/>
          <w:sz w:val="32"/>
          <w:szCs w:val="32"/>
          <w:highlight w:val="none"/>
        </w:rPr>
        <w:t>北京经济发展</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吸引符合首都城市战略定位的项目。</w:t>
      </w:r>
    </w:p>
    <w:p w14:paraId="590790E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社会效益指标：提升北京市对外影响力</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扩大北京经济形象影响力。</w:t>
      </w:r>
    </w:p>
    <w:p w14:paraId="124DC1D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②中国国际投资贸易洽谈会</w:t>
      </w:r>
    </w:p>
    <w:p w14:paraId="4C10F345">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数量指标：布展1次。</w:t>
      </w:r>
    </w:p>
    <w:p w14:paraId="41518C7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质量指标：指标1：项目洽谈数量定性10个；指标2：发布招商项目数量定性15个；指标3：参观主展区人数定性1000人次；指标4：接受咨询洽谈人数定性100人次。</w:t>
      </w:r>
    </w:p>
    <w:p w14:paraId="70856D8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时效指标：按照筹备工作计划完成工作任务，预计1季度开始，3季度结束。</w:t>
      </w:r>
    </w:p>
    <w:p w14:paraId="49C75012">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成本指标：总成本控制在项目预算规模范围内＝667120元。</w:t>
      </w:r>
    </w:p>
    <w:p w14:paraId="7E57AAC3">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社会效益指标：加大招商引资和宣传推广力度，吸引国内外优质资源来京聚集定性符合。</w:t>
      </w:r>
    </w:p>
    <w:p w14:paraId="043EEE15">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服务对象满意度指标：获得主办方认可定性优。</w:t>
      </w:r>
    </w:p>
    <w:p w14:paraId="7D405D3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③服贸会“北京日”活动</w:t>
      </w:r>
    </w:p>
    <w:p w14:paraId="2943F82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数量指标：指标1：邀请参会人员≥600人；指标2：服贸会“北京日”活动场次1场。</w:t>
      </w:r>
    </w:p>
    <w:p w14:paraId="2F945BA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质量指标：开展招商引资、推介洽谈、成果发布、项目签约等活动≥4项。</w:t>
      </w:r>
    </w:p>
    <w:p w14:paraId="698D84F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时效指标：活动时间进度1年。</w:t>
      </w:r>
    </w:p>
    <w:p w14:paraId="7533BDE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成本指标：总成本≤750000元。</w:t>
      </w:r>
    </w:p>
    <w:p w14:paraId="5D08C7D1">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社会效益指标：指标1：展示北京高质量发展的前景和机遇定性优；指标2：获得央视、北京市电视、网络等媒体的报道≥10家。</w:t>
      </w:r>
    </w:p>
    <w:p w14:paraId="34E67DA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服务对象满意度指标：中心工作人员满意度≥90%。</w:t>
      </w:r>
    </w:p>
    <w:p w14:paraId="096F82F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④投资北京全球峰会项目</w:t>
      </w:r>
    </w:p>
    <w:p w14:paraId="16008EB5">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数量指标：指标1：举办活动次数≥1场次；指标2：发布、签约的招商引资项目≥10个。</w:t>
      </w:r>
    </w:p>
    <w:p w14:paraId="2E6F8016">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质量指标：指标1：累计组织企业参会人次≥300人；指标2：投资人和企业积极参与程度≥90%。</w:t>
      </w:r>
    </w:p>
    <w:p w14:paraId="069186AA">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时效指标：完成季度≤4期。</w:t>
      </w:r>
    </w:p>
    <w:p w14:paraId="17E7E3DA">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成本指标：总成本≤845000元。</w:t>
      </w:r>
    </w:p>
    <w:p w14:paraId="361CEF9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经济效益指标：促进更多符合首都城市战略定位的项目落户北京定性优。</w:t>
      </w:r>
    </w:p>
    <w:p w14:paraId="0F208C6A">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服务对象满意度指标：满意度指标定性满意。</w:t>
      </w:r>
    </w:p>
    <w:p w14:paraId="6EB76B16">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⑤“一带一路”双向投资推介及政策解读系列活动项目</w:t>
      </w:r>
    </w:p>
    <w:p w14:paraId="0D942E1F">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在京开展面向优质走出去企业的宣传，分享“一带一路”沿线国家投资环境及企业“走出去”成功经验和做法。联合双向投资平台管理机构和服务单位对有意向开展境外投资企业宣传“一带一路”沿线国家的投资优惠政策并解读北京市境外投资政策。组织有意向投资的企业进行“一对一”项目洽谈＝3场。</w:t>
      </w:r>
    </w:p>
    <w:p w14:paraId="08BA09F2">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有序开展北京市境外投资政策解读及“一带一路”沿线相关国家投资优惠政策、法律、劳务、人力、宗教等方面的专项系列培训定性50人/次；指标2：向境内外投资者发布、对接双向投资项目30个；指标3：境内外投资者“一对一”项目洽谈</w:t>
      </w:r>
      <w:r>
        <w:rPr>
          <w:rFonts w:hint="eastAsia" w:ascii="方正仿宋_GB2312" w:hAnsi="方正仿宋_GB2312" w:eastAsia="方正仿宋_GB2312" w:cs="方正仿宋_GB2312"/>
          <w:sz w:val="32"/>
          <w:szCs w:val="32"/>
          <w:highlight w:val="none"/>
          <w:lang w:eastAsia="zh-CN"/>
        </w:rPr>
        <w:t>等于</w:t>
      </w:r>
      <w:r>
        <w:rPr>
          <w:rFonts w:hint="eastAsia" w:ascii="方正仿宋_GB2312" w:hAnsi="方正仿宋_GB2312" w:eastAsia="方正仿宋_GB2312" w:cs="方正仿宋_GB2312"/>
          <w:sz w:val="32"/>
          <w:szCs w:val="32"/>
          <w:highlight w:val="none"/>
        </w:rPr>
        <w:t>8个。</w:t>
      </w:r>
    </w:p>
    <w:p w14:paraId="641C429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时效指标：2023年10-12</w:t>
      </w:r>
      <w:r>
        <w:rPr>
          <w:rFonts w:hint="eastAsia" w:ascii="方正仿宋_GB2312" w:hAnsi="方正仿宋_GB2312" w:eastAsia="方正仿宋_GB2312" w:cs="方正仿宋_GB2312"/>
          <w:sz w:val="32"/>
          <w:szCs w:val="32"/>
          <w:highlight w:val="none"/>
          <w:lang w:eastAsia="zh-CN"/>
        </w:rPr>
        <w:t>月</w:t>
      </w:r>
      <w:r>
        <w:rPr>
          <w:rFonts w:hint="eastAsia" w:ascii="方正仿宋_GB2312" w:hAnsi="方正仿宋_GB2312" w:eastAsia="方正仿宋_GB2312" w:cs="方正仿宋_GB2312"/>
          <w:sz w:val="32"/>
          <w:szCs w:val="32"/>
          <w:highlight w:val="none"/>
        </w:rPr>
        <w:t>确定方案，2024年2月至11月进行具体筹备和实施，12月之前完成推介工作，并做好总结≤12月。</w:t>
      </w:r>
    </w:p>
    <w:p w14:paraId="2B342F4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成本指标：总成本控制在项目预算批复额度以内≤80.2158万元。</w:t>
      </w:r>
    </w:p>
    <w:p w14:paraId="0C062051">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经济效益指标：通过促进企业走出去项目，帮助企业拓展海外市场。引进境外投资者，在资金、技术、海外市场等方面帮助企业发展。收集投资双向投资项目线索不低于20个。</w:t>
      </w:r>
    </w:p>
    <w:p w14:paraId="62128A62">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服务对象满意度指标：获得参会投资者的认可100%。</w:t>
      </w:r>
    </w:p>
    <w:p w14:paraId="7C53ABF6">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⑥北京香港经济合作研讨洽谈会</w:t>
      </w:r>
    </w:p>
    <w:p w14:paraId="30F8FED2">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数量指标：指标1：参会人次累计人次≥1000人；指标2：活动场次≥10场；指标3：征集整理双向投资项目，通过前期走访座谈、举办项目推介活动等，发布双向投资项目数量≥60个。</w:t>
      </w:r>
    </w:p>
    <w:p w14:paraId="5B547AE8">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质量指标：促成的项目符合首都城市战略定位；各类活动组织有序，达到项目促进目的，且京港两地高层和各界人士积极参与度高定性高。</w:t>
      </w:r>
    </w:p>
    <w:p w14:paraId="52FBEE1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时效指标：工作进度进展，按照筹备工作计划完成工作任务；筹备工作计划，预计1季度开始，4季度结束≤12月。</w:t>
      </w:r>
    </w:p>
    <w:p w14:paraId="25EA0A6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成本指标：总成本控制在项目预算规模范围内≤380万元。</w:t>
      </w:r>
    </w:p>
    <w:p w14:paraId="1E9ECD2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指标1：促进京港两地开展务实有效的研讨洽谈和项目对接，促进符合北京高质量发展的项目落地北京定性高；指标2：进一步深化京港两地在服务业、科技创新、数字经济、消费和“一带一路”等领域经贸交流和合作定性高；指标3：进一步加强京港两地在基础设施、医疗卫生、食品安全等方面的城市管理合作，实现京港两地高水平互利共赢定性高。</w:t>
      </w:r>
    </w:p>
    <w:p w14:paraId="4D31AEB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（3）企业服务类项目</w:t>
      </w:r>
    </w:p>
    <w:p w14:paraId="06091A0C">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①北京12345企业热线大数据分析服务项目</w:t>
      </w:r>
    </w:p>
    <w:p w14:paraId="2638F73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数量指标：指标1：形成年报数量1份；指标2：形成半年报数量1份；指标3：形成季度小结数量4份。</w:t>
      </w:r>
    </w:p>
    <w:p w14:paraId="7271671A">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质量指标：指标1：年报采用率100%；指标2：半年报采用率100%；指标3：季度小结采用率100%。</w:t>
      </w:r>
    </w:p>
    <w:p w14:paraId="038D3407">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时效指标：指标1：季度小结完成时限定性每季度完成；指标2：年报完成时限定性12月；指标3：半年报完成时限定性12月</w:t>
      </w:r>
    </w:p>
    <w:p w14:paraId="5B11B374">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成本指标：经济成本指标≤268980元。</w:t>
      </w:r>
    </w:p>
    <w:p w14:paraId="511E4AD9">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社会效益指标：提升服务企业水平，进一步优化北京市营商环境。</w:t>
      </w:r>
    </w:p>
    <w:p w14:paraId="122A3B48">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满意度指标：数据使用人员满意率定性优。</w:t>
      </w:r>
    </w:p>
    <w:p w14:paraId="7930E177">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②市级“服务包”企业投资动态智能监测服务项目</w:t>
      </w:r>
    </w:p>
    <w:p w14:paraId="634687CB">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数量指标：指标1：特定重点行业、领域或国别企业投资趋势分析报告1份；指标2：形成季度数据分析报告4份；指标3：年度深度报告1份。</w:t>
      </w:r>
    </w:p>
    <w:p w14:paraId="23D4507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质量指标：指标1：特定重点行业、领域或国别企业投资趋势分析报告采用率100%；指标2：年度深度报告采用率100%；指标3：季度报告采用率100%。</w:t>
      </w:r>
    </w:p>
    <w:p w14:paraId="231E9C6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时效指标：指标1：年度报告完成时限≤6月；指标2：特定重点行业、领域或国别企业投资趋势分析报告完成时限≤12月；指标3：季度报告完成时限≤4月。</w:t>
      </w:r>
    </w:p>
    <w:p w14:paraId="6863BCDD">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成本指标：经济成本指标定性批复金额。</w:t>
      </w:r>
    </w:p>
    <w:p w14:paraId="55515E20">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社会效益指标：提升服务企业水平，及时了解企业投资动态，提高服务的精准性和成效定性优。</w:t>
      </w:r>
    </w:p>
    <w:p w14:paraId="2D94C46C">
      <w:pPr>
        <w:spacing w:line="360" w:lineRule="auto"/>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服务对象满意度指标：数据使用人员满意率定性优。</w:t>
      </w:r>
    </w:p>
    <w:p w14:paraId="3F40320F">
      <w:pPr>
        <w:pStyle w:val="4"/>
        <w:ind w:firstLine="562"/>
        <w:rPr>
          <w:rFonts w:hint="eastAsia" w:ascii="黑体" w:hAnsi="黑体" w:eastAsia="黑体" w:cs="黑体"/>
          <w:b/>
          <w:bCs/>
          <w:sz w:val="32"/>
          <w:szCs w:val="32"/>
        </w:rPr>
      </w:pPr>
      <w:bookmarkStart w:id="4" w:name="_Toc9827"/>
      <w:r>
        <w:rPr>
          <w:rFonts w:hint="eastAsia" w:ascii="黑体" w:hAnsi="黑体" w:eastAsia="黑体" w:cs="黑体"/>
          <w:b/>
          <w:bCs/>
          <w:sz w:val="32"/>
          <w:szCs w:val="32"/>
        </w:rPr>
        <w:t>二、当年预算执行情况</w:t>
      </w:r>
      <w:bookmarkEnd w:id="4"/>
    </w:p>
    <w:p w14:paraId="43CAE49E">
      <w:pPr>
        <w:spacing w:line="360" w:lineRule="auto"/>
        <w:ind w:firstLine="640" w:firstLineChars="200"/>
        <w:rPr>
          <w:rFonts w:hint="eastAsia" w:ascii="方正仿宋_GB2312" w:hAnsi="方正仿宋_GB2312" w:eastAsia="方正仿宋_GB2312" w:cs="方正仿宋_GB2312"/>
          <w:color w:val="000000" w:themeColor="text1"/>
          <w:sz w:val="32"/>
          <w:szCs w:val="32"/>
          <w14:textFill>
            <w14:solidFill>
              <w14:schemeClr w14:val="tx1"/>
            </w14:solidFill>
          </w14:textFill>
        </w:rPr>
      </w:pPr>
      <w:r>
        <w:rPr>
          <w:rFonts w:hint="eastAsia" w:ascii="方正仿宋_GB2312" w:hAnsi="方正仿宋_GB2312" w:eastAsia="方正仿宋_GB2312" w:cs="方正仿宋_GB2312"/>
          <w:color w:val="000000" w:themeColor="text1"/>
          <w:sz w:val="32"/>
          <w:szCs w:val="32"/>
          <w14:textFill>
            <w14:solidFill>
              <w14:schemeClr w14:val="tx1"/>
            </w14:solidFill>
          </w14:textFill>
        </w:rPr>
        <w:t>2024年</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度本年收入合计</w:t>
      </w:r>
      <w:r>
        <w:rPr>
          <w:rFonts w:hint="eastAsia" w:ascii="方正仿宋_GB2312" w:hAnsi="方正仿宋_GB2312" w:eastAsia="方正仿宋_GB2312" w:cs="方正仿宋_GB2312"/>
          <w:color w:val="000000" w:themeColor="text1"/>
          <w:sz w:val="32"/>
          <w:szCs w:val="32"/>
          <w14:textFill>
            <w14:solidFill>
              <w14:schemeClr w14:val="tx1"/>
            </w14:solidFill>
          </w14:textFill>
        </w:rPr>
        <w:t>6512.44万元（其中：</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财政拨款收入</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6510.09</w:t>
      </w:r>
      <w:r>
        <w:rPr>
          <w:rFonts w:hint="eastAsia" w:ascii="方正仿宋_GB2312" w:hAnsi="方正仿宋_GB2312" w:eastAsia="方正仿宋_GB2312" w:cs="方正仿宋_GB2312"/>
          <w:color w:val="000000" w:themeColor="text1"/>
          <w:sz w:val="32"/>
          <w:szCs w:val="32"/>
          <w14:textFill>
            <w14:solidFill>
              <w14:schemeClr w14:val="tx1"/>
            </w14:solidFill>
          </w14:textFill>
        </w:rPr>
        <w:t>万元</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32"/>
          <w:szCs w:val="32"/>
          <w14:textFill>
            <w14:solidFill>
              <w14:schemeClr w14:val="tx1"/>
            </w14:solidFill>
          </w14:textFill>
        </w:rPr>
        <w:t>其他</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收入</w:t>
      </w:r>
      <w:r>
        <w:rPr>
          <w:rFonts w:hint="eastAsia" w:ascii="方正仿宋_GB2312" w:hAnsi="方正仿宋_GB2312" w:eastAsia="方正仿宋_GB2312" w:cs="方正仿宋_GB2312"/>
          <w:color w:val="000000" w:themeColor="text1"/>
          <w:sz w:val="32"/>
          <w:szCs w:val="32"/>
          <w14:textFill>
            <w14:solidFill>
              <w14:schemeClr w14:val="tx1"/>
            </w14:solidFill>
          </w14:textFill>
        </w:rPr>
        <w:t>2.35万元），</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年初</w:t>
      </w:r>
      <w:r>
        <w:rPr>
          <w:rFonts w:hint="eastAsia" w:ascii="方正仿宋_GB2312" w:hAnsi="方正仿宋_GB2312" w:eastAsia="方正仿宋_GB2312" w:cs="方正仿宋_GB2312"/>
          <w:color w:val="000000" w:themeColor="text1"/>
          <w:sz w:val="32"/>
          <w:szCs w:val="32"/>
          <w14:textFill>
            <w14:solidFill>
              <w14:schemeClr w14:val="tx1"/>
            </w14:solidFill>
          </w14:textFill>
        </w:rPr>
        <w:t>结转和结余486.12万元，共计6998.56万元。</w:t>
      </w:r>
    </w:p>
    <w:p w14:paraId="4E7C10CC">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000000" w:themeColor="text1"/>
          <w:sz w:val="32"/>
          <w:szCs w:val="32"/>
          <w14:textFill>
            <w14:solidFill>
              <w14:schemeClr w14:val="tx1"/>
            </w14:solidFill>
          </w14:textFill>
        </w:rPr>
        <w:t>2024年</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度本年支出合计</w:t>
      </w:r>
      <w:r>
        <w:rPr>
          <w:rFonts w:hint="eastAsia" w:ascii="方正仿宋_GB2312" w:hAnsi="方正仿宋_GB2312" w:eastAsia="方正仿宋_GB2312" w:cs="方正仿宋_GB2312"/>
          <w:color w:val="000000" w:themeColor="text1"/>
          <w:sz w:val="32"/>
          <w:szCs w:val="32"/>
          <w14:textFill>
            <w14:solidFill>
              <w14:schemeClr w14:val="tx1"/>
            </w14:solidFill>
          </w14:textFill>
        </w:rPr>
        <w:t>6269.72万元（其中：基本</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支出</w:t>
      </w:r>
      <w:r>
        <w:rPr>
          <w:rFonts w:hint="eastAsia" w:ascii="方正仿宋_GB2312" w:hAnsi="方正仿宋_GB2312" w:eastAsia="方正仿宋_GB2312" w:cs="方正仿宋_GB2312"/>
          <w:color w:val="000000" w:themeColor="text1"/>
          <w:sz w:val="32"/>
          <w:szCs w:val="32"/>
          <w14:textFill>
            <w14:solidFill>
              <w14:schemeClr w14:val="tx1"/>
            </w14:solidFill>
          </w14:textFill>
        </w:rPr>
        <w:t>为</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4390.59</w:t>
      </w:r>
      <w:r>
        <w:rPr>
          <w:rFonts w:hint="eastAsia" w:ascii="方正仿宋_GB2312" w:hAnsi="方正仿宋_GB2312" w:eastAsia="方正仿宋_GB2312" w:cs="方正仿宋_GB2312"/>
          <w:color w:val="000000" w:themeColor="text1"/>
          <w:sz w:val="32"/>
          <w:szCs w:val="32"/>
          <w14:textFill>
            <w14:solidFill>
              <w14:schemeClr w14:val="tx1"/>
            </w14:solidFill>
          </w14:textFill>
        </w:rPr>
        <w:t>万元、项目</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支出</w:t>
      </w:r>
      <w:r>
        <w:rPr>
          <w:rFonts w:hint="eastAsia" w:ascii="方正仿宋_GB2312" w:hAnsi="方正仿宋_GB2312" w:eastAsia="方正仿宋_GB2312" w:cs="方正仿宋_GB2312"/>
          <w:color w:val="000000" w:themeColor="text1"/>
          <w:sz w:val="32"/>
          <w:szCs w:val="32"/>
          <w14:textFill>
            <w14:solidFill>
              <w14:schemeClr w14:val="tx1"/>
            </w14:solidFill>
          </w14:textFill>
        </w:rPr>
        <w:t>为1879.12万元），</w:t>
      </w:r>
      <w:r>
        <w:rPr>
          <w:rFonts w:hint="eastAsia" w:ascii="方正仿宋_GB2312" w:hAnsi="方正仿宋_GB2312" w:eastAsia="方正仿宋_GB2312" w:cs="方正仿宋_GB2312"/>
          <w:color w:val="000000" w:themeColor="text1"/>
          <w:sz w:val="32"/>
          <w:szCs w:val="32"/>
          <w:lang w:eastAsia="zh-CN"/>
          <w14:textFill>
            <w14:solidFill>
              <w14:schemeClr w14:val="tx1"/>
            </w14:solidFill>
          </w14:textFill>
        </w:rPr>
        <w:t>年末结转结余</w:t>
      </w:r>
      <w:r>
        <w:rPr>
          <w:rFonts w:hint="eastAsia" w:ascii="方正仿宋_GB2312" w:hAnsi="方正仿宋_GB2312" w:eastAsia="方正仿宋_GB2312" w:cs="方正仿宋_GB2312"/>
          <w:sz w:val="32"/>
          <w:szCs w:val="32"/>
        </w:rPr>
        <w:t>728.84万元，共计6998.56万元。</w:t>
      </w:r>
    </w:p>
    <w:p w14:paraId="35AD1E86">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总体预算执行率为89.6%，其中：基本支出执行率为97%，项目支出执行率为93.5%，其他支出执行率为5.6%。</w:t>
      </w:r>
    </w:p>
    <w:p w14:paraId="65EAAEC6">
      <w:pPr>
        <w:pStyle w:val="4"/>
        <w:ind w:firstLine="562"/>
        <w:rPr>
          <w:rFonts w:hint="eastAsia" w:ascii="黑体" w:hAnsi="黑体" w:eastAsia="黑体" w:cs="黑体"/>
          <w:b/>
          <w:bCs/>
          <w:sz w:val="32"/>
          <w:szCs w:val="32"/>
        </w:rPr>
      </w:pPr>
      <w:bookmarkStart w:id="5" w:name="_Toc14616"/>
      <w:r>
        <w:rPr>
          <w:rFonts w:hint="eastAsia" w:ascii="黑体" w:hAnsi="黑体" w:eastAsia="黑体" w:cs="黑体"/>
          <w:b/>
          <w:bCs/>
          <w:sz w:val="32"/>
          <w:szCs w:val="32"/>
        </w:rPr>
        <w:t>三、整体绩效目标实现情况</w:t>
      </w:r>
      <w:bookmarkEnd w:id="5"/>
    </w:p>
    <w:p w14:paraId="4A29A232">
      <w:pPr>
        <w:pStyle w:val="5"/>
        <w:rPr>
          <w:rFonts w:hint="eastAsia" w:ascii="楷体_GB2312" w:hAnsi="楷体_GB2312" w:eastAsia="楷体_GB2312" w:cs="楷体_GB2312"/>
          <w:b/>
          <w:bCs/>
          <w:kern w:val="2"/>
          <w:sz w:val="32"/>
          <w:szCs w:val="32"/>
          <w:lang w:val="en-US" w:eastAsia="zh-CN" w:bidi="ar-SA"/>
        </w:rPr>
      </w:pPr>
      <w:bookmarkStart w:id="6" w:name="_Toc20960"/>
      <w:r>
        <w:rPr>
          <w:rFonts w:hint="eastAsia" w:ascii="楷体_GB2312" w:hAnsi="楷体_GB2312" w:eastAsia="楷体_GB2312" w:cs="楷体_GB2312"/>
          <w:b/>
          <w:bCs/>
          <w:kern w:val="2"/>
          <w:sz w:val="32"/>
          <w:szCs w:val="32"/>
          <w:lang w:val="en-US" w:eastAsia="zh-CN" w:bidi="ar-SA"/>
        </w:rPr>
        <w:t>(一)产出完成情况分析</w:t>
      </w:r>
      <w:bookmarkEnd w:id="6"/>
    </w:p>
    <w:p w14:paraId="0F81E296">
      <w:pPr>
        <w:spacing w:line="360" w:lineRule="auto"/>
        <w:ind w:firstLine="640" w:firstLineChars="200"/>
        <w:rPr>
          <w:rFonts w:hint="eastAsia" w:ascii="方正仿宋_GB2312" w:hAnsi="方正仿宋_GB2312" w:eastAsia="方正仿宋_GB2312" w:cs="方正仿宋_GB2312"/>
          <w:sz w:val="32"/>
          <w:szCs w:val="32"/>
        </w:rPr>
      </w:pPr>
      <w:bookmarkStart w:id="7" w:name="_Toc29569"/>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产出数量</w:t>
      </w:r>
    </w:p>
    <w:p w14:paraId="04DE5216">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①基本经费运行方面</w:t>
      </w:r>
    </w:p>
    <w:p w14:paraId="5FFFD54E">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保障市投资促进中心本级和北京市投资促进综合事务中心2个机构的正常运转。</w:t>
      </w:r>
    </w:p>
    <w:p w14:paraId="74A6FDD4">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②项目支出方面</w:t>
      </w:r>
    </w:p>
    <w:p w14:paraId="4564AED1">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申请的</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t>27</w:t>
      </w:r>
      <w:r>
        <w:rPr>
          <w:rFonts w:hint="eastAsia" w:ascii="方正仿宋_GB2312" w:hAnsi="方正仿宋_GB2312" w:eastAsia="方正仿宋_GB2312" w:cs="方正仿宋_GB2312"/>
          <w:sz w:val="32"/>
          <w:szCs w:val="32"/>
        </w:rPr>
        <w:t>个项目，数量指标值完成率为100%。</w:t>
      </w:r>
    </w:p>
    <w:p w14:paraId="42936B0E">
      <w:pPr>
        <w:spacing w:line="36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2.产出质量</w:t>
      </w:r>
    </w:p>
    <w:p w14:paraId="2C7EDDD7">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市投资促进中心各预算项目质量完成情况较好，项目验收通过率100%；项目实施符合相关政策要求，指标值完成率总体为100%。</w:t>
      </w:r>
    </w:p>
    <w:p w14:paraId="1A114E36">
      <w:pPr>
        <w:spacing w:line="360" w:lineRule="auto"/>
        <w:ind w:firstLine="640" w:firstLineChars="200"/>
        <w:rPr>
          <w:rFonts w:hint="default" w:ascii="方正仿宋_GB2312" w:hAnsi="方正仿宋_GB2312" w:eastAsia="方正仿宋_GB2312" w:cs="方正仿宋_GB2312"/>
          <w:sz w:val="32"/>
          <w:szCs w:val="32"/>
          <w:lang w:val="en-US"/>
        </w:rPr>
      </w:pPr>
      <w:r>
        <w:rPr>
          <w:rFonts w:hint="eastAsia" w:ascii="方正仿宋_GB2312" w:hAnsi="方正仿宋_GB2312" w:eastAsia="方正仿宋_GB2312" w:cs="方正仿宋_GB2312"/>
          <w:sz w:val="32"/>
          <w:szCs w:val="32"/>
          <w:lang w:val="en-US" w:eastAsia="zh-CN"/>
        </w:rPr>
        <w:t>3.产出进度</w:t>
      </w:r>
    </w:p>
    <w:p w14:paraId="24F21D93">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市投资促进中心各项工作完成及时性较好，27个项目总体预算执行率93.48%。具体执行进度情况见下表：</w:t>
      </w:r>
    </w:p>
    <w:p w14:paraId="77654D77">
      <w:pPr>
        <w:spacing w:line="360" w:lineRule="auto"/>
        <w:jc w:val="center"/>
        <w:rPr>
          <w:rFonts w:hint="eastAsia" w:ascii="方正仿宋_GB2312" w:hAnsi="方正仿宋_GB2312" w:eastAsia="方正仿宋_GB2312" w:cs="方正仿宋_GB2312"/>
          <w:b/>
          <w:bCs/>
          <w:sz w:val="32"/>
          <w:szCs w:val="32"/>
        </w:rPr>
      </w:pPr>
      <w:r>
        <w:rPr>
          <w:rFonts w:hint="eastAsia" w:ascii="方正仿宋_GB2312" w:hAnsi="方正仿宋_GB2312" w:eastAsia="方正仿宋_GB2312" w:cs="方正仿宋_GB2312"/>
          <w:b/>
          <w:bCs/>
          <w:sz w:val="32"/>
          <w:szCs w:val="32"/>
        </w:rPr>
        <w:t>2024年部门项目预算执行情况表</w:t>
      </w:r>
    </w:p>
    <w:p w14:paraId="0459CFDC">
      <w:pPr>
        <w:spacing w:line="360" w:lineRule="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单位：元</w:t>
      </w:r>
    </w:p>
    <w:tbl>
      <w:tblPr>
        <w:tblStyle w:val="25"/>
        <w:tblW w:w="9280" w:type="dxa"/>
        <w:jc w:val="center"/>
        <w:tblLayout w:type="autofit"/>
        <w:tblCellMar>
          <w:top w:w="0" w:type="dxa"/>
          <w:left w:w="108" w:type="dxa"/>
          <w:bottom w:w="0" w:type="dxa"/>
          <w:right w:w="108" w:type="dxa"/>
        </w:tblCellMar>
      </w:tblPr>
      <w:tblGrid>
        <w:gridCol w:w="920"/>
        <w:gridCol w:w="2760"/>
        <w:gridCol w:w="1800"/>
        <w:gridCol w:w="1960"/>
        <w:gridCol w:w="1840"/>
      </w:tblGrid>
      <w:tr w14:paraId="659A93B9">
        <w:tblPrEx>
          <w:tblCellMar>
            <w:top w:w="0" w:type="dxa"/>
            <w:left w:w="108" w:type="dxa"/>
            <w:bottom w:w="0" w:type="dxa"/>
            <w:right w:w="108" w:type="dxa"/>
          </w:tblCellMar>
        </w:tblPrEx>
        <w:trPr>
          <w:trHeight w:val="420" w:hRule="atLeast"/>
          <w:jc w:val="center"/>
        </w:trPr>
        <w:tc>
          <w:tcPr>
            <w:tcW w:w="9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87E7B1">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序号</w:t>
            </w:r>
          </w:p>
        </w:tc>
        <w:tc>
          <w:tcPr>
            <w:tcW w:w="2760" w:type="dxa"/>
            <w:tcBorders>
              <w:top w:val="single" w:color="auto" w:sz="4" w:space="0"/>
              <w:left w:val="nil"/>
              <w:bottom w:val="single" w:color="auto" w:sz="4" w:space="0"/>
              <w:right w:val="single" w:color="auto" w:sz="4" w:space="0"/>
            </w:tcBorders>
            <w:shd w:val="clear" w:color="auto" w:fill="auto"/>
            <w:vAlign w:val="center"/>
          </w:tcPr>
          <w:p w14:paraId="6CD030B0">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项目名称</w:t>
            </w:r>
          </w:p>
        </w:tc>
        <w:tc>
          <w:tcPr>
            <w:tcW w:w="1800" w:type="dxa"/>
            <w:tcBorders>
              <w:top w:val="single" w:color="auto" w:sz="4" w:space="0"/>
              <w:left w:val="nil"/>
              <w:bottom w:val="single" w:color="auto" w:sz="4" w:space="0"/>
              <w:right w:val="single" w:color="auto" w:sz="4" w:space="0"/>
            </w:tcBorders>
            <w:shd w:val="clear" w:color="auto" w:fill="auto"/>
            <w:noWrap/>
            <w:vAlign w:val="center"/>
          </w:tcPr>
          <w:p w14:paraId="09E8C368">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全年预算数</w:t>
            </w:r>
          </w:p>
        </w:tc>
        <w:tc>
          <w:tcPr>
            <w:tcW w:w="1960" w:type="dxa"/>
            <w:tcBorders>
              <w:top w:val="single" w:color="auto" w:sz="4" w:space="0"/>
              <w:left w:val="nil"/>
              <w:bottom w:val="single" w:color="auto" w:sz="4" w:space="0"/>
              <w:right w:val="single" w:color="auto" w:sz="4" w:space="0"/>
            </w:tcBorders>
            <w:shd w:val="clear" w:color="auto" w:fill="auto"/>
            <w:noWrap/>
            <w:vAlign w:val="center"/>
          </w:tcPr>
          <w:p w14:paraId="419D1CCF">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预算执行数</w:t>
            </w:r>
          </w:p>
        </w:tc>
        <w:tc>
          <w:tcPr>
            <w:tcW w:w="1840" w:type="dxa"/>
            <w:tcBorders>
              <w:top w:val="single" w:color="auto" w:sz="4" w:space="0"/>
              <w:left w:val="nil"/>
              <w:bottom w:val="single" w:color="auto" w:sz="4" w:space="0"/>
              <w:right w:val="single" w:color="auto" w:sz="4" w:space="0"/>
            </w:tcBorders>
            <w:shd w:val="clear" w:color="auto" w:fill="auto"/>
            <w:noWrap/>
            <w:vAlign w:val="center"/>
          </w:tcPr>
          <w:p w14:paraId="43671B99">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预算执行率</w:t>
            </w:r>
          </w:p>
        </w:tc>
      </w:tr>
      <w:tr w14:paraId="1CA0C383">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7622038F">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w:t>
            </w:r>
          </w:p>
        </w:tc>
        <w:tc>
          <w:tcPr>
            <w:tcW w:w="2760" w:type="dxa"/>
            <w:tcBorders>
              <w:top w:val="nil"/>
              <w:left w:val="nil"/>
              <w:bottom w:val="single" w:color="auto" w:sz="4" w:space="0"/>
              <w:right w:val="single" w:color="auto" w:sz="4" w:space="0"/>
            </w:tcBorders>
            <w:shd w:val="clear" w:color="auto" w:fill="auto"/>
            <w:vAlign w:val="center"/>
          </w:tcPr>
          <w:p w14:paraId="11EF7F9C">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运行保障项目</w:t>
            </w:r>
          </w:p>
        </w:tc>
        <w:tc>
          <w:tcPr>
            <w:tcW w:w="1800" w:type="dxa"/>
            <w:tcBorders>
              <w:top w:val="nil"/>
              <w:left w:val="nil"/>
              <w:bottom w:val="single" w:color="auto" w:sz="4" w:space="0"/>
              <w:right w:val="single" w:color="auto" w:sz="4" w:space="0"/>
            </w:tcBorders>
            <w:shd w:val="clear" w:color="auto" w:fill="auto"/>
            <w:noWrap/>
            <w:vAlign w:val="center"/>
          </w:tcPr>
          <w:p w14:paraId="2BFF447D">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1,673,074.16</w:t>
            </w:r>
          </w:p>
        </w:tc>
        <w:tc>
          <w:tcPr>
            <w:tcW w:w="1960" w:type="dxa"/>
            <w:tcBorders>
              <w:top w:val="nil"/>
              <w:left w:val="nil"/>
              <w:bottom w:val="single" w:color="auto" w:sz="4" w:space="0"/>
              <w:right w:val="single" w:color="auto" w:sz="4" w:space="0"/>
            </w:tcBorders>
            <w:shd w:val="clear" w:color="auto" w:fill="auto"/>
            <w:noWrap/>
            <w:vAlign w:val="center"/>
          </w:tcPr>
          <w:p w14:paraId="7AF32774">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1,591,694.84</w:t>
            </w:r>
          </w:p>
        </w:tc>
        <w:tc>
          <w:tcPr>
            <w:tcW w:w="1840" w:type="dxa"/>
            <w:tcBorders>
              <w:top w:val="nil"/>
              <w:left w:val="nil"/>
              <w:bottom w:val="single" w:color="auto" w:sz="4" w:space="0"/>
              <w:right w:val="single" w:color="auto" w:sz="4" w:space="0"/>
            </w:tcBorders>
            <w:shd w:val="clear" w:color="auto" w:fill="auto"/>
            <w:noWrap/>
            <w:vAlign w:val="center"/>
          </w:tcPr>
          <w:p w14:paraId="5D3D883F">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95.14%</w:t>
            </w:r>
          </w:p>
        </w:tc>
      </w:tr>
      <w:tr w14:paraId="4D85BF02">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5E793E46">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w:t>
            </w:r>
          </w:p>
        </w:tc>
        <w:tc>
          <w:tcPr>
            <w:tcW w:w="2760" w:type="dxa"/>
            <w:tcBorders>
              <w:top w:val="nil"/>
              <w:left w:val="nil"/>
              <w:bottom w:val="single" w:color="auto" w:sz="4" w:space="0"/>
              <w:right w:val="single" w:color="auto" w:sz="4" w:space="0"/>
            </w:tcBorders>
            <w:shd w:val="clear" w:color="auto" w:fill="auto"/>
            <w:vAlign w:val="center"/>
          </w:tcPr>
          <w:p w14:paraId="6C56DA6B">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招商引资渠道建设</w:t>
            </w:r>
          </w:p>
        </w:tc>
        <w:tc>
          <w:tcPr>
            <w:tcW w:w="1800" w:type="dxa"/>
            <w:tcBorders>
              <w:top w:val="nil"/>
              <w:left w:val="nil"/>
              <w:bottom w:val="single" w:color="auto" w:sz="4" w:space="0"/>
              <w:right w:val="single" w:color="auto" w:sz="4" w:space="0"/>
            </w:tcBorders>
            <w:shd w:val="clear" w:color="auto" w:fill="auto"/>
            <w:noWrap/>
            <w:vAlign w:val="center"/>
          </w:tcPr>
          <w:p w14:paraId="5B0636A7">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642,043.54</w:t>
            </w:r>
          </w:p>
        </w:tc>
        <w:tc>
          <w:tcPr>
            <w:tcW w:w="1960" w:type="dxa"/>
            <w:tcBorders>
              <w:top w:val="nil"/>
              <w:left w:val="nil"/>
              <w:bottom w:val="single" w:color="auto" w:sz="4" w:space="0"/>
              <w:right w:val="single" w:color="auto" w:sz="4" w:space="0"/>
            </w:tcBorders>
            <w:shd w:val="clear" w:color="auto" w:fill="auto"/>
            <w:noWrap/>
            <w:vAlign w:val="center"/>
          </w:tcPr>
          <w:p w14:paraId="186B8135">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642,043.54</w:t>
            </w:r>
          </w:p>
        </w:tc>
        <w:tc>
          <w:tcPr>
            <w:tcW w:w="1840" w:type="dxa"/>
            <w:tcBorders>
              <w:top w:val="nil"/>
              <w:left w:val="nil"/>
              <w:bottom w:val="single" w:color="auto" w:sz="4" w:space="0"/>
              <w:right w:val="single" w:color="auto" w:sz="4" w:space="0"/>
            </w:tcBorders>
            <w:shd w:val="clear" w:color="auto" w:fill="auto"/>
            <w:noWrap/>
            <w:vAlign w:val="center"/>
          </w:tcPr>
          <w:p w14:paraId="6F488E3D">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595201B3">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1EFD8B84">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3</w:t>
            </w:r>
          </w:p>
        </w:tc>
        <w:tc>
          <w:tcPr>
            <w:tcW w:w="2760" w:type="dxa"/>
            <w:tcBorders>
              <w:top w:val="nil"/>
              <w:left w:val="nil"/>
              <w:bottom w:val="single" w:color="auto" w:sz="4" w:space="0"/>
              <w:right w:val="single" w:color="auto" w:sz="4" w:space="0"/>
            </w:tcBorders>
            <w:shd w:val="clear" w:color="auto" w:fill="auto"/>
            <w:vAlign w:val="center"/>
          </w:tcPr>
          <w:p w14:paraId="7FDE0DFB">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北京市投资促进项目管理系统运行维护</w:t>
            </w:r>
          </w:p>
        </w:tc>
        <w:tc>
          <w:tcPr>
            <w:tcW w:w="1800" w:type="dxa"/>
            <w:tcBorders>
              <w:top w:val="nil"/>
              <w:left w:val="nil"/>
              <w:bottom w:val="single" w:color="auto" w:sz="4" w:space="0"/>
              <w:right w:val="single" w:color="auto" w:sz="4" w:space="0"/>
            </w:tcBorders>
            <w:shd w:val="clear" w:color="auto" w:fill="auto"/>
            <w:noWrap/>
            <w:vAlign w:val="center"/>
          </w:tcPr>
          <w:p w14:paraId="04CB5DE2">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213,120.00</w:t>
            </w:r>
          </w:p>
        </w:tc>
        <w:tc>
          <w:tcPr>
            <w:tcW w:w="1960" w:type="dxa"/>
            <w:tcBorders>
              <w:top w:val="nil"/>
              <w:left w:val="nil"/>
              <w:bottom w:val="single" w:color="auto" w:sz="4" w:space="0"/>
              <w:right w:val="single" w:color="auto" w:sz="4" w:space="0"/>
            </w:tcBorders>
            <w:shd w:val="clear" w:color="auto" w:fill="auto"/>
            <w:noWrap/>
            <w:vAlign w:val="center"/>
          </w:tcPr>
          <w:p w14:paraId="08DD58C8">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211,000.00</w:t>
            </w:r>
          </w:p>
        </w:tc>
        <w:tc>
          <w:tcPr>
            <w:tcW w:w="1840" w:type="dxa"/>
            <w:tcBorders>
              <w:top w:val="nil"/>
              <w:left w:val="nil"/>
              <w:bottom w:val="single" w:color="auto" w:sz="4" w:space="0"/>
              <w:right w:val="single" w:color="auto" w:sz="4" w:space="0"/>
            </w:tcBorders>
            <w:shd w:val="clear" w:color="auto" w:fill="auto"/>
            <w:noWrap/>
            <w:vAlign w:val="center"/>
          </w:tcPr>
          <w:p w14:paraId="2EA3B48B">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99.01%</w:t>
            </w:r>
          </w:p>
        </w:tc>
      </w:tr>
      <w:tr w14:paraId="666EF039">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A181BA0">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4</w:t>
            </w:r>
          </w:p>
        </w:tc>
        <w:tc>
          <w:tcPr>
            <w:tcW w:w="2760" w:type="dxa"/>
            <w:tcBorders>
              <w:top w:val="nil"/>
              <w:left w:val="nil"/>
              <w:bottom w:val="single" w:color="auto" w:sz="4" w:space="0"/>
              <w:right w:val="single" w:color="auto" w:sz="4" w:space="0"/>
            </w:tcBorders>
            <w:shd w:val="clear" w:color="auto" w:fill="auto"/>
            <w:vAlign w:val="center"/>
          </w:tcPr>
          <w:p w14:paraId="49E89CAB">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北京市投资促进服务中心英文网站服务</w:t>
            </w:r>
          </w:p>
        </w:tc>
        <w:tc>
          <w:tcPr>
            <w:tcW w:w="1800" w:type="dxa"/>
            <w:tcBorders>
              <w:top w:val="nil"/>
              <w:left w:val="nil"/>
              <w:bottom w:val="single" w:color="auto" w:sz="4" w:space="0"/>
              <w:right w:val="single" w:color="auto" w:sz="4" w:space="0"/>
            </w:tcBorders>
            <w:shd w:val="clear" w:color="auto" w:fill="auto"/>
            <w:noWrap/>
            <w:vAlign w:val="center"/>
          </w:tcPr>
          <w:p w14:paraId="7BCF3A43">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130,000.00</w:t>
            </w:r>
          </w:p>
        </w:tc>
        <w:tc>
          <w:tcPr>
            <w:tcW w:w="1960" w:type="dxa"/>
            <w:tcBorders>
              <w:top w:val="nil"/>
              <w:left w:val="nil"/>
              <w:bottom w:val="single" w:color="auto" w:sz="4" w:space="0"/>
              <w:right w:val="single" w:color="auto" w:sz="4" w:space="0"/>
            </w:tcBorders>
            <w:shd w:val="clear" w:color="auto" w:fill="auto"/>
            <w:noWrap/>
            <w:vAlign w:val="center"/>
          </w:tcPr>
          <w:p w14:paraId="57FB1CFE">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128,225.00</w:t>
            </w:r>
          </w:p>
        </w:tc>
        <w:tc>
          <w:tcPr>
            <w:tcW w:w="1840" w:type="dxa"/>
            <w:tcBorders>
              <w:top w:val="nil"/>
              <w:left w:val="nil"/>
              <w:bottom w:val="single" w:color="auto" w:sz="4" w:space="0"/>
              <w:right w:val="single" w:color="auto" w:sz="4" w:space="0"/>
            </w:tcBorders>
            <w:shd w:val="clear" w:color="auto" w:fill="auto"/>
            <w:noWrap/>
            <w:vAlign w:val="center"/>
          </w:tcPr>
          <w:p w14:paraId="57941177">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98.63%</w:t>
            </w:r>
          </w:p>
        </w:tc>
      </w:tr>
      <w:tr w14:paraId="419D0F8D">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4902AD6C">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5</w:t>
            </w:r>
          </w:p>
        </w:tc>
        <w:tc>
          <w:tcPr>
            <w:tcW w:w="2760" w:type="dxa"/>
            <w:tcBorders>
              <w:top w:val="nil"/>
              <w:left w:val="nil"/>
              <w:bottom w:val="single" w:color="auto" w:sz="4" w:space="0"/>
              <w:right w:val="single" w:color="auto" w:sz="4" w:space="0"/>
            </w:tcBorders>
            <w:shd w:val="clear" w:color="auto" w:fill="auto"/>
            <w:vAlign w:val="center"/>
          </w:tcPr>
          <w:p w14:paraId="06C3E599">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中国国际投资贸易洽谈会</w:t>
            </w:r>
          </w:p>
        </w:tc>
        <w:tc>
          <w:tcPr>
            <w:tcW w:w="1800" w:type="dxa"/>
            <w:tcBorders>
              <w:top w:val="nil"/>
              <w:left w:val="nil"/>
              <w:bottom w:val="single" w:color="auto" w:sz="4" w:space="0"/>
              <w:right w:val="single" w:color="auto" w:sz="4" w:space="0"/>
            </w:tcBorders>
            <w:shd w:val="clear" w:color="auto" w:fill="auto"/>
            <w:noWrap/>
            <w:vAlign w:val="center"/>
          </w:tcPr>
          <w:p w14:paraId="244BDE7F">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667,120.00</w:t>
            </w:r>
          </w:p>
        </w:tc>
        <w:tc>
          <w:tcPr>
            <w:tcW w:w="1960" w:type="dxa"/>
            <w:tcBorders>
              <w:top w:val="nil"/>
              <w:left w:val="nil"/>
              <w:bottom w:val="single" w:color="auto" w:sz="4" w:space="0"/>
              <w:right w:val="single" w:color="auto" w:sz="4" w:space="0"/>
            </w:tcBorders>
            <w:shd w:val="clear" w:color="auto" w:fill="auto"/>
            <w:noWrap/>
            <w:vAlign w:val="center"/>
          </w:tcPr>
          <w:p w14:paraId="0DA385A8">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642,442.60</w:t>
            </w:r>
          </w:p>
        </w:tc>
        <w:tc>
          <w:tcPr>
            <w:tcW w:w="1840" w:type="dxa"/>
            <w:tcBorders>
              <w:top w:val="nil"/>
              <w:left w:val="nil"/>
              <w:bottom w:val="single" w:color="auto" w:sz="4" w:space="0"/>
              <w:right w:val="single" w:color="auto" w:sz="4" w:space="0"/>
            </w:tcBorders>
            <w:shd w:val="clear" w:color="auto" w:fill="auto"/>
            <w:noWrap/>
            <w:vAlign w:val="center"/>
          </w:tcPr>
          <w:p w14:paraId="554B3780">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96.30%</w:t>
            </w:r>
          </w:p>
        </w:tc>
      </w:tr>
      <w:tr w14:paraId="154864EC">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416A7D33">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6</w:t>
            </w:r>
          </w:p>
        </w:tc>
        <w:tc>
          <w:tcPr>
            <w:tcW w:w="2760" w:type="dxa"/>
            <w:tcBorders>
              <w:top w:val="nil"/>
              <w:left w:val="nil"/>
              <w:bottom w:val="single" w:color="auto" w:sz="4" w:space="0"/>
              <w:right w:val="single" w:color="auto" w:sz="4" w:space="0"/>
            </w:tcBorders>
            <w:shd w:val="clear" w:color="auto" w:fill="auto"/>
            <w:vAlign w:val="center"/>
          </w:tcPr>
          <w:p w14:paraId="2D51D35D">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课题研究类项目</w:t>
            </w:r>
          </w:p>
        </w:tc>
        <w:tc>
          <w:tcPr>
            <w:tcW w:w="1800" w:type="dxa"/>
            <w:tcBorders>
              <w:top w:val="nil"/>
              <w:left w:val="nil"/>
              <w:bottom w:val="single" w:color="auto" w:sz="4" w:space="0"/>
              <w:right w:val="single" w:color="auto" w:sz="4" w:space="0"/>
            </w:tcBorders>
            <w:shd w:val="clear" w:color="auto" w:fill="auto"/>
            <w:noWrap/>
            <w:vAlign w:val="center"/>
          </w:tcPr>
          <w:p w14:paraId="3726555A">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539,000.00</w:t>
            </w:r>
          </w:p>
        </w:tc>
        <w:tc>
          <w:tcPr>
            <w:tcW w:w="1960" w:type="dxa"/>
            <w:tcBorders>
              <w:top w:val="nil"/>
              <w:left w:val="nil"/>
              <w:bottom w:val="single" w:color="auto" w:sz="4" w:space="0"/>
              <w:right w:val="single" w:color="auto" w:sz="4" w:space="0"/>
            </w:tcBorders>
            <w:shd w:val="clear" w:color="auto" w:fill="auto"/>
            <w:noWrap/>
            <w:vAlign w:val="center"/>
          </w:tcPr>
          <w:p w14:paraId="54A52ADF">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538,300.00</w:t>
            </w:r>
          </w:p>
        </w:tc>
        <w:tc>
          <w:tcPr>
            <w:tcW w:w="1840" w:type="dxa"/>
            <w:tcBorders>
              <w:top w:val="nil"/>
              <w:left w:val="nil"/>
              <w:bottom w:val="single" w:color="auto" w:sz="4" w:space="0"/>
              <w:right w:val="single" w:color="auto" w:sz="4" w:space="0"/>
            </w:tcBorders>
            <w:shd w:val="clear" w:color="auto" w:fill="auto"/>
            <w:noWrap/>
            <w:vAlign w:val="center"/>
          </w:tcPr>
          <w:p w14:paraId="5F6A8A4C">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99.87%</w:t>
            </w:r>
          </w:p>
        </w:tc>
      </w:tr>
      <w:tr w14:paraId="611B95D3">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15546703">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7</w:t>
            </w:r>
          </w:p>
        </w:tc>
        <w:tc>
          <w:tcPr>
            <w:tcW w:w="2760" w:type="dxa"/>
            <w:tcBorders>
              <w:top w:val="nil"/>
              <w:left w:val="nil"/>
              <w:bottom w:val="single" w:color="auto" w:sz="4" w:space="0"/>
              <w:right w:val="single" w:color="auto" w:sz="4" w:space="0"/>
            </w:tcBorders>
            <w:shd w:val="clear" w:color="auto" w:fill="auto"/>
            <w:vAlign w:val="center"/>
          </w:tcPr>
          <w:p w14:paraId="6200972F">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法律顾问费</w:t>
            </w:r>
          </w:p>
        </w:tc>
        <w:tc>
          <w:tcPr>
            <w:tcW w:w="1800" w:type="dxa"/>
            <w:tcBorders>
              <w:top w:val="nil"/>
              <w:left w:val="nil"/>
              <w:bottom w:val="single" w:color="auto" w:sz="4" w:space="0"/>
              <w:right w:val="single" w:color="auto" w:sz="4" w:space="0"/>
            </w:tcBorders>
            <w:shd w:val="clear" w:color="auto" w:fill="auto"/>
            <w:noWrap/>
            <w:vAlign w:val="center"/>
          </w:tcPr>
          <w:p w14:paraId="4BB4CFA6">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100,000.00</w:t>
            </w:r>
          </w:p>
        </w:tc>
        <w:tc>
          <w:tcPr>
            <w:tcW w:w="1960" w:type="dxa"/>
            <w:tcBorders>
              <w:top w:val="nil"/>
              <w:left w:val="nil"/>
              <w:bottom w:val="single" w:color="auto" w:sz="4" w:space="0"/>
              <w:right w:val="single" w:color="auto" w:sz="4" w:space="0"/>
            </w:tcBorders>
            <w:shd w:val="clear" w:color="auto" w:fill="auto"/>
            <w:noWrap/>
            <w:vAlign w:val="center"/>
          </w:tcPr>
          <w:p w14:paraId="728EEA85">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100,000.00</w:t>
            </w:r>
          </w:p>
        </w:tc>
        <w:tc>
          <w:tcPr>
            <w:tcW w:w="1840" w:type="dxa"/>
            <w:tcBorders>
              <w:top w:val="nil"/>
              <w:left w:val="nil"/>
              <w:bottom w:val="single" w:color="auto" w:sz="4" w:space="0"/>
              <w:right w:val="single" w:color="auto" w:sz="4" w:space="0"/>
            </w:tcBorders>
            <w:shd w:val="clear" w:color="auto" w:fill="auto"/>
            <w:noWrap/>
            <w:vAlign w:val="center"/>
          </w:tcPr>
          <w:p w14:paraId="6FC7DAA3">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744264B3">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7A4FAE2B">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8</w:t>
            </w:r>
          </w:p>
        </w:tc>
        <w:tc>
          <w:tcPr>
            <w:tcW w:w="2760" w:type="dxa"/>
            <w:tcBorders>
              <w:top w:val="nil"/>
              <w:left w:val="nil"/>
              <w:bottom w:val="single" w:color="auto" w:sz="4" w:space="0"/>
              <w:right w:val="single" w:color="auto" w:sz="4" w:space="0"/>
            </w:tcBorders>
            <w:shd w:val="clear" w:color="auto" w:fill="auto"/>
            <w:vAlign w:val="center"/>
          </w:tcPr>
          <w:p w14:paraId="5DD9A4C0">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境内投资推介系列活动</w:t>
            </w:r>
          </w:p>
        </w:tc>
        <w:tc>
          <w:tcPr>
            <w:tcW w:w="1800" w:type="dxa"/>
            <w:tcBorders>
              <w:top w:val="nil"/>
              <w:left w:val="nil"/>
              <w:bottom w:val="single" w:color="auto" w:sz="4" w:space="0"/>
              <w:right w:val="single" w:color="auto" w:sz="4" w:space="0"/>
            </w:tcBorders>
            <w:shd w:val="clear" w:color="auto" w:fill="auto"/>
            <w:noWrap/>
            <w:vAlign w:val="center"/>
          </w:tcPr>
          <w:p w14:paraId="019240C8">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718,482.00</w:t>
            </w:r>
          </w:p>
        </w:tc>
        <w:tc>
          <w:tcPr>
            <w:tcW w:w="1960" w:type="dxa"/>
            <w:tcBorders>
              <w:top w:val="nil"/>
              <w:left w:val="nil"/>
              <w:bottom w:val="single" w:color="auto" w:sz="4" w:space="0"/>
              <w:right w:val="single" w:color="auto" w:sz="4" w:space="0"/>
            </w:tcBorders>
            <w:shd w:val="clear" w:color="auto" w:fill="auto"/>
            <w:noWrap/>
            <w:vAlign w:val="center"/>
          </w:tcPr>
          <w:p w14:paraId="62CBE2C4">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647,380.00</w:t>
            </w:r>
          </w:p>
        </w:tc>
        <w:tc>
          <w:tcPr>
            <w:tcW w:w="1840" w:type="dxa"/>
            <w:tcBorders>
              <w:top w:val="nil"/>
              <w:left w:val="nil"/>
              <w:bottom w:val="single" w:color="auto" w:sz="4" w:space="0"/>
              <w:right w:val="single" w:color="auto" w:sz="4" w:space="0"/>
            </w:tcBorders>
            <w:shd w:val="clear" w:color="auto" w:fill="auto"/>
            <w:noWrap/>
            <w:vAlign w:val="center"/>
          </w:tcPr>
          <w:p w14:paraId="42C75631">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90.10%</w:t>
            </w:r>
          </w:p>
        </w:tc>
      </w:tr>
      <w:tr w14:paraId="7F6398B5">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21E0B22">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9</w:t>
            </w:r>
          </w:p>
        </w:tc>
        <w:tc>
          <w:tcPr>
            <w:tcW w:w="2760" w:type="dxa"/>
            <w:tcBorders>
              <w:top w:val="nil"/>
              <w:left w:val="nil"/>
              <w:bottom w:val="single" w:color="auto" w:sz="4" w:space="0"/>
              <w:right w:val="single" w:color="auto" w:sz="4" w:space="0"/>
            </w:tcBorders>
            <w:shd w:val="clear" w:color="auto" w:fill="auto"/>
            <w:vAlign w:val="center"/>
          </w:tcPr>
          <w:p w14:paraId="459DE49A">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投资北京宣传资料</w:t>
            </w:r>
          </w:p>
        </w:tc>
        <w:tc>
          <w:tcPr>
            <w:tcW w:w="1800" w:type="dxa"/>
            <w:tcBorders>
              <w:top w:val="nil"/>
              <w:left w:val="nil"/>
              <w:bottom w:val="single" w:color="auto" w:sz="4" w:space="0"/>
              <w:right w:val="single" w:color="auto" w:sz="4" w:space="0"/>
            </w:tcBorders>
            <w:shd w:val="clear" w:color="auto" w:fill="auto"/>
            <w:noWrap/>
            <w:vAlign w:val="center"/>
          </w:tcPr>
          <w:p w14:paraId="5557CC33">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120,000.00</w:t>
            </w:r>
          </w:p>
        </w:tc>
        <w:tc>
          <w:tcPr>
            <w:tcW w:w="1960" w:type="dxa"/>
            <w:tcBorders>
              <w:top w:val="nil"/>
              <w:left w:val="nil"/>
              <w:bottom w:val="single" w:color="auto" w:sz="4" w:space="0"/>
              <w:right w:val="single" w:color="auto" w:sz="4" w:space="0"/>
            </w:tcBorders>
            <w:shd w:val="clear" w:color="auto" w:fill="auto"/>
            <w:noWrap/>
            <w:vAlign w:val="center"/>
          </w:tcPr>
          <w:p w14:paraId="24419BB8">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120,000.00</w:t>
            </w:r>
          </w:p>
        </w:tc>
        <w:tc>
          <w:tcPr>
            <w:tcW w:w="1840" w:type="dxa"/>
            <w:tcBorders>
              <w:top w:val="nil"/>
              <w:left w:val="nil"/>
              <w:bottom w:val="single" w:color="auto" w:sz="4" w:space="0"/>
              <w:right w:val="single" w:color="auto" w:sz="4" w:space="0"/>
            </w:tcBorders>
            <w:shd w:val="clear" w:color="auto" w:fill="auto"/>
            <w:noWrap/>
            <w:vAlign w:val="center"/>
          </w:tcPr>
          <w:p w14:paraId="03FF977F">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6606E082">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2AE65316">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10</w:t>
            </w:r>
          </w:p>
        </w:tc>
        <w:tc>
          <w:tcPr>
            <w:tcW w:w="2760" w:type="dxa"/>
            <w:tcBorders>
              <w:top w:val="nil"/>
              <w:left w:val="nil"/>
              <w:bottom w:val="single" w:color="auto" w:sz="4" w:space="0"/>
              <w:right w:val="single" w:color="auto" w:sz="4" w:space="0"/>
            </w:tcBorders>
            <w:shd w:val="clear" w:color="auto" w:fill="auto"/>
            <w:vAlign w:val="center"/>
          </w:tcPr>
          <w:p w14:paraId="610E4C3B">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新媒体宣传推广项目</w:t>
            </w:r>
          </w:p>
        </w:tc>
        <w:tc>
          <w:tcPr>
            <w:tcW w:w="1800" w:type="dxa"/>
            <w:tcBorders>
              <w:top w:val="nil"/>
              <w:left w:val="nil"/>
              <w:bottom w:val="single" w:color="auto" w:sz="4" w:space="0"/>
              <w:right w:val="single" w:color="auto" w:sz="4" w:space="0"/>
            </w:tcBorders>
            <w:shd w:val="clear" w:color="auto" w:fill="auto"/>
            <w:noWrap/>
            <w:vAlign w:val="center"/>
          </w:tcPr>
          <w:p w14:paraId="7C8F5A15">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492,515.86</w:t>
            </w:r>
          </w:p>
        </w:tc>
        <w:tc>
          <w:tcPr>
            <w:tcW w:w="1960" w:type="dxa"/>
            <w:tcBorders>
              <w:top w:val="nil"/>
              <w:left w:val="nil"/>
              <w:bottom w:val="single" w:color="auto" w:sz="4" w:space="0"/>
              <w:right w:val="single" w:color="auto" w:sz="4" w:space="0"/>
            </w:tcBorders>
            <w:shd w:val="clear" w:color="auto" w:fill="auto"/>
            <w:noWrap/>
            <w:vAlign w:val="center"/>
          </w:tcPr>
          <w:p w14:paraId="227FD1FD">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492,400.00</w:t>
            </w:r>
          </w:p>
        </w:tc>
        <w:tc>
          <w:tcPr>
            <w:tcW w:w="1840" w:type="dxa"/>
            <w:tcBorders>
              <w:top w:val="nil"/>
              <w:left w:val="nil"/>
              <w:bottom w:val="single" w:color="auto" w:sz="4" w:space="0"/>
              <w:right w:val="single" w:color="auto" w:sz="4" w:space="0"/>
            </w:tcBorders>
            <w:shd w:val="clear" w:color="auto" w:fill="auto"/>
            <w:noWrap/>
            <w:vAlign w:val="center"/>
          </w:tcPr>
          <w:p w14:paraId="1CA7A237">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99.98%</w:t>
            </w:r>
          </w:p>
        </w:tc>
      </w:tr>
      <w:tr w14:paraId="315BE213">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0DFD4D6">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11</w:t>
            </w:r>
          </w:p>
        </w:tc>
        <w:tc>
          <w:tcPr>
            <w:tcW w:w="2760" w:type="dxa"/>
            <w:tcBorders>
              <w:top w:val="nil"/>
              <w:left w:val="nil"/>
              <w:bottom w:val="single" w:color="auto" w:sz="4" w:space="0"/>
              <w:right w:val="single" w:color="auto" w:sz="4" w:space="0"/>
            </w:tcBorders>
            <w:shd w:val="clear" w:color="auto" w:fill="auto"/>
            <w:vAlign w:val="center"/>
          </w:tcPr>
          <w:p w14:paraId="15F4E804">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北京市对外招商推介宣传片</w:t>
            </w:r>
          </w:p>
        </w:tc>
        <w:tc>
          <w:tcPr>
            <w:tcW w:w="1800" w:type="dxa"/>
            <w:tcBorders>
              <w:top w:val="nil"/>
              <w:left w:val="nil"/>
              <w:bottom w:val="single" w:color="auto" w:sz="4" w:space="0"/>
              <w:right w:val="single" w:color="auto" w:sz="4" w:space="0"/>
            </w:tcBorders>
            <w:shd w:val="clear" w:color="auto" w:fill="auto"/>
            <w:noWrap/>
            <w:vAlign w:val="center"/>
          </w:tcPr>
          <w:p w14:paraId="6F75A5DC">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1,500,000.00</w:t>
            </w:r>
          </w:p>
        </w:tc>
        <w:tc>
          <w:tcPr>
            <w:tcW w:w="1960" w:type="dxa"/>
            <w:tcBorders>
              <w:top w:val="nil"/>
              <w:left w:val="nil"/>
              <w:bottom w:val="single" w:color="auto" w:sz="4" w:space="0"/>
              <w:right w:val="single" w:color="auto" w:sz="4" w:space="0"/>
            </w:tcBorders>
            <w:shd w:val="clear" w:color="auto" w:fill="auto"/>
            <w:noWrap/>
            <w:vAlign w:val="center"/>
          </w:tcPr>
          <w:p w14:paraId="0F68E2E9">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1,493,988.00</w:t>
            </w:r>
          </w:p>
        </w:tc>
        <w:tc>
          <w:tcPr>
            <w:tcW w:w="1840" w:type="dxa"/>
            <w:tcBorders>
              <w:top w:val="nil"/>
              <w:left w:val="nil"/>
              <w:bottom w:val="single" w:color="auto" w:sz="4" w:space="0"/>
              <w:right w:val="single" w:color="auto" w:sz="4" w:space="0"/>
            </w:tcBorders>
            <w:shd w:val="clear" w:color="auto" w:fill="auto"/>
            <w:noWrap/>
            <w:vAlign w:val="center"/>
          </w:tcPr>
          <w:p w14:paraId="45D5AD08">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99.60%</w:t>
            </w:r>
          </w:p>
        </w:tc>
      </w:tr>
      <w:tr w14:paraId="18004A39">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2CFCC866">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12</w:t>
            </w:r>
          </w:p>
        </w:tc>
        <w:tc>
          <w:tcPr>
            <w:tcW w:w="2760" w:type="dxa"/>
            <w:tcBorders>
              <w:top w:val="nil"/>
              <w:left w:val="nil"/>
              <w:bottom w:val="single" w:color="auto" w:sz="4" w:space="0"/>
              <w:right w:val="single" w:color="auto" w:sz="4" w:space="0"/>
            </w:tcBorders>
            <w:shd w:val="clear" w:color="auto" w:fill="auto"/>
            <w:vAlign w:val="center"/>
          </w:tcPr>
          <w:p w14:paraId="78A0AE31">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“一带一路”双向投资推介及政策解读系列活动</w:t>
            </w:r>
          </w:p>
        </w:tc>
        <w:tc>
          <w:tcPr>
            <w:tcW w:w="1800" w:type="dxa"/>
            <w:tcBorders>
              <w:top w:val="nil"/>
              <w:left w:val="nil"/>
              <w:bottom w:val="single" w:color="auto" w:sz="4" w:space="0"/>
              <w:right w:val="single" w:color="auto" w:sz="4" w:space="0"/>
            </w:tcBorders>
            <w:shd w:val="clear" w:color="auto" w:fill="auto"/>
            <w:noWrap/>
            <w:vAlign w:val="center"/>
          </w:tcPr>
          <w:p w14:paraId="47479665">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716,000.00</w:t>
            </w:r>
          </w:p>
        </w:tc>
        <w:tc>
          <w:tcPr>
            <w:tcW w:w="1960" w:type="dxa"/>
            <w:tcBorders>
              <w:top w:val="nil"/>
              <w:left w:val="nil"/>
              <w:bottom w:val="single" w:color="auto" w:sz="4" w:space="0"/>
              <w:right w:val="single" w:color="auto" w:sz="4" w:space="0"/>
            </w:tcBorders>
            <w:shd w:val="clear" w:color="auto" w:fill="auto"/>
            <w:noWrap/>
            <w:vAlign w:val="center"/>
          </w:tcPr>
          <w:p w14:paraId="20617FA1">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716,000.00</w:t>
            </w:r>
          </w:p>
        </w:tc>
        <w:tc>
          <w:tcPr>
            <w:tcW w:w="1840" w:type="dxa"/>
            <w:tcBorders>
              <w:top w:val="nil"/>
              <w:left w:val="nil"/>
              <w:bottom w:val="single" w:color="auto" w:sz="4" w:space="0"/>
              <w:right w:val="single" w:color="auto" w:sz="4" w:space="0"/>
            </w:tcBorders>
            <w:shd w:val="clear" w:color="auto" w:fill="auto"/>
            <w:noWrap/>
            <w:vAlign w:val="center"/>
          </w:tcPr>
          <w:p w14:paraId="5769FC48">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14B37E15">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5E2C2E0B">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13</w:t>
            </w:r>
          </w:p>
        </w:tc>
        <w:tc>
          <w:tcPr>
            <w:tcW w:w="2760" w:type="dxa"/>
            <w:tcBorders>
              <w:top w:val="nil"/>
              <w:left w:val="nil"/>
              <w:bottom w:val="single" w:color="auto" w:sz="4" w:space="0"/>
              <w:right w:val="single" w:color="auto" w:sz="4" w:space="0"/>
            </w:tcBorders>
            <w:shd w:val="clear" w:color="auto" w:fill="auto"/>
            <w:vAlign w:val="center"/>
          </w:tcPr>
          <w:p w14:paraId="5FEF44D2">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北京投资服务网资料征集与编译</w:t>
            </w:r>
          </w:p>
        </w:tc>
        <w:tc>
          <w:tcPr>
            <w:tcW w:w="1800" w:type="dxa"/>
            <w:tcBorders>
              <w:top w:val="nil"/>
              <w:left w:val="nil"/>
              <w:bottom w:val="single" w:color="auto" w:sz="4" w:space="0"/>
              <w:right w:val="single" w:color="auto" w:sz="4" w:space="0"/>
            </w:tcBorders>
            <w:shd w:val="clear" w:color="auto" w:fill="auto"/>
            <w:noWrap/>
            <w:vAlign w:val="center"/>
          </w:tcPr>
          <w:p w14:paraId="79300A8C">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298,200.00</w:t>
            </w:r>
          </w:p>
        </w:tc>
        <w:tc>
          <w:tcPr>
            <w:tcW w:w="1960" w:type="dxa"/>
            <w:tcBorders>
              <w:top w:val="nil"/>
              <w:left w:val="nil"/>
              <w:bottom w:val="single" w:color="auto" w:sz="4" w:space="0"/>
              <w:right w:val="single" w:color="auto" w:sz="4" w:space="0"/>
            </w:tcBorders>
            <w:shd w:val="clear" w:color="auto" w:fill="auto"/>
            <w:noWrap/>
            <w:vAlign w:val="center"/>
          </w:tcPr>
          <w:p w14:paraId="43118A08">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298,200.00</w:t>
            </w:r>
          </w:p>
        </w:tc>
        <w:tc>
          <w:tcPr>
            <w:tcW w:w="1840" w:type="dxa"/>
            <w:tcBorders>
              <w:top w:val="nil"/>
              <w:left w:val="nil"/>
              <w:bottom w:val="single" w:color="auto" w:sz="4" w:space="0"/>
              <w:right w:val="single" w:color="auto" w:sz="4" w:space="0"/>
            </w:tcBorders>
            <w:shd w:val="clear" w:color="auto" w:fill="auto"/>
            <w:noWrap/>
            <w:vAlign w:val="center"/>
          </w:tcPr>
          <w:p w14:paraId="12E92169">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2217B7C3">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44F8A34D">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14</w:t>
            </w:r>
          </w:p>
        </w:tc>
        <w:tc>
          <w:tcPr>
            <w:tcW w:w="2760" w:type="dxa"/>
            <w:tcBorders>
              <w:top w:val="nil"/>
              <w:left w:val="nil"/>
              <w:bottom w:val="single" w:color="auto" w:sz="4" w:space="0"/>
              <w:right w:val="single" w:color="auto" w:sz="4" w:space="0"/>
            </w:tcBorders>
            <w:shd w:val="clear" w:color="auto" w:fill="auto"/>
            <w:vAlign w:val="center"/>
          </w:tcPr>
          <w:p w14:paraId="119D993E">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北京12345企业热线大数据分析服务</w:t>
            </w:r>
          </w:p>
        </w:tc>
        <w:tc>
          <w:tcPr>
            <w:tcW w:w="1800" w:type="dxa"/>
            <w:tcBorders>
              <w:top w:val="nil"/>
              <w:left w:val="nil"/>
              <w:bottom w:val="single" w:color="auto" w:sz="4" w:space="0"/>
              <w:right w:val="single" w:color="auto" w:sz="4" w:space="0"/>
            </w:tcBorders>
            <w:shd w:val="clear" w:color="auto" w:fill="auto"/>
            <w:noWrap/>
            <w:vAlign w:val="center"/>
          </w:tcPr>
          <w:p w14:paraId="660C91F3">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268,980.00</w:t>
            </w:r>
          </w:p>
        </w:tc>
        <w:tc>
          <w:tcPr>
            <w:tcW w:w="1960" w:type="dxa"/>
            <w:tcBorders>
              <w:top w:val="nil"/>
              <w:left w:val="nil"/>
              <w:bottom w:val="single" w:color="auto" w:sz="4" w:space="0"/>
              <w:right w:val="single" w:color="auto" w:sz="4" w:space="0"/>
            </w:tcBorders>
            <w:shd w:val="clear" w:color="auto" w:fill="auto"/>
            <w:noWrap/>
            <w:vAlign w:val="center"/>
          </w:tcPr>
          <w:p w14:paraId="0B47FA7C">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261,698.60</w:t>
            </w:r>
          </w:p>
        </w:tc>
        <w:tc>
          <w:tcPr>
            <w:tcW w:w="1840" w:type="dxa"/>
            <w:tcBorders>
              <w:top w:val="nil"/>
              <w:left w:val="nil"/>
              <w:bottom w:val="single" w:color="auto" w:sz="4" w:space="0"/>
              <w:right w:val="single" w:color="auto" w:sz="4" w:space="0"/>
            </w:tcBorders>
            <w:shd w:val="clear" w:color="auto" w:fill="auto"/>
            <w:noWrap/>
            <w:vAlign w:val="center"/>
          </w:tcPr>
          <w:p w14:paraId="63612D67">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97.29%</w:t>
            </w:r>
          </w:p>
        </w:tc>
      </w:tr>
      <w:tr w14:paraId="452EE836">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02F18A89">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15</w:t>
            </w:r>
          </w:p>
        </w:tc>
        <w:tc>
          <w:tcPr>
            <w:tcW w:w="2760" w:type="dxa"/>
            <w:tcBorders>
              <w:top w:val="nil"/>
              <w:left w:val="nil"/>
              <w:bottom w:val="single" w:color="auto" w:sz="4" w:space="0"/>
              <w:right w:val="single" w:color="auto" w:sz="4" w:space="0"/>
            </w:tcBorders>
            <w:shd w:val="clear" w:color="auto" w:fill="auto"/>
            <w:vAlign w:val="center"/>
          </w:tcPr>
          <w:p w14:paraId="075C6351">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北京香港经济合作研讨洽谈会</w:t>
            </w:r>
          </w:p>
        </w:tc>
        <w:tc>
          <w:tcPr>
            <w:tcW w:w="1800" w:type="dxa"/>
            <w:tcBorders>
              <w:top w:val="nil"/>
              <w:left w:val="nil"/>
              <w:bottom w:val="single" w:color="auto" w:sz="4" w:space="0"/>
              <w:right w:val="single" w:color="auto" w:sz="4" w:space="0"/>
            </w:tcBorders>
            <w:shd w:val="clear" w:color="auto" w:fill="auto"/>
            <w:noWrap/>
            <w:vAlign w:val="center"/>
          </w:tcPr>
          <w:p w14:paraId="7E5AE115">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3,800,000.00</w:t>
            </w:r>
          </w:p>
        </w:tc>
        <w:tc>
          <w:tcPr>
            <w:tcW w:w="1960" w:type="dxa"/>
            <w:tcBorders>
              <w:top w:val="nil"/>
              <w:left w:val="nil"/>
              <w:bottom w:val="single" w:color="auto" w:sz="4" w:space="0"/>
              <w:right w:val="single" w:color="auto" w:sz="4" w:space="0"/>
            </w:tcBorders>
            <w:shd w:val="clear" w:color="auto" w:fill="auto"/>
            <w:noWrap/>
            <w:vAlign w:val="center"/>
          </w:tcPr>
          <w:p w14:paraId="7F79DE79">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3,737,252.17</w:t>
            </w:r>
          </w:p>
        </w:tc>
        <w:tc>
          <w:tcPr>
            <w:tcW w:w="1840" w:type="dxa"/>
            <w:tcBorders>
              <w:top w:val="nil"/>
              <w:left w:val="nil"/>
              <w:bottom w:val="single" w:color="auto" w:sz="4" w:space="0"/>
              <w:right w:val="single" w:color="auto" w:sz="4" w:space="0"/>
            </w:tcBorders>
            <w:shd w:val="clear" w:color="auto" w:fill="auto"/>
            <w:noWrap/>
            <w:vAlign w:val="center"/>
          </w:tcPr>
          <w:p w14:paraId="0158C29E">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98.35%</w:t>
            </w:r>
          </w:p>
        </w:tc>
      </w:tr>
      <w:tr w14:paraId="40307AD0">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38F3E07">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16</w:t>
            </w:r>
          </w:p>
        </w:tc>
        <w:tc>
          <w:tcPr>
            <w:tcW w:w="2760" w:type="dxa"/>
            <w:tcBorders>
              <w:top w:val="nil"/>
              <w:left w:val="nil"/>
              <w:bottom w:val="single" w:color="auto" w:sz="4" w:space="0"/>
              <w:right w:val="single" w:color="auto" w:sz="4" w:space="0"/>
            </w:tcBorders>
            <w:shd w:val="clear" w:color="auto" w:fill="auto"/>
            <w:vAlign w:val="center"/>
          </w:tcPr>
          <w:p w14:paraId="194B72C1">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投资北京全球峰会</w:t>
            </w:r>
          </w:p>
        </w:tc>
        <w:tc>
          <w:tcPr>
            <w:tcW w:w="1800" w:type="dxa"/>
            <w:tcBorders>
              <w:top w:val="nil"/>
              <w:left w:val="nil"/>
              <w:bottom w:val="single" w:color="auto" w:sz="4" w:space="0"/>
              <w:right w:val="single" w:color="auto" w:sz="4" w:space="0"/>
            </w:tcBorders>
            <w:shd w:val="clear" w:color="auto" w:fill="auto"/>
            <w:noWrap/>
            <w:vAlign w:val="center"/>
          </w:tcPr>
          <w:p w14:paraId="7E7E1247">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845,000.00</w:t>
            </w:r>
          </w:p>
        </w:tc>
        <w:tc>
          <w:tcPr>
            <w:tcW w:w="1960" w:type="dxa"/>
            <w:tcBorders>
              <w:top w:val="nil"/>
              <w:left w:val="nil"/>
              <w:bottom w:val="single" w:color="auto" w:sz="4" w:space="0"/>
              <w:right w:val="single" w:color="auto" w:sz="4" w:space="0"/>
            </w:tcBorders>
            <w:shd w:val="clear" w:color="auto" w:fill="auto"/>
            <w:noWrap/>
            <w:vAlign w:val="center"/>
          </w:tcPr>
          <w:p w14:paraId="45902887">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835,572.24</w:t>
            </w:r>
          </w:p>
        </w:tc>
        <w:tc>
          <w:tcPr>
            <w:tcW w:w="1840" w:type="dxa"/>
            <w:tcBorders>
              <w:top w:val="nil"/>
              <w:left w:val="nil"/>
              <w:bottom w:val="single" w:color="auto" w:sz="4" w:space="0"/>
              <w:right w:val="single" w:color="auto" w:sz="4" w:space="0"/>
            </w:tcBorders>
            <w:shd w:val="clear" w:color="auto" w:fill="auto"/>
            <w:noWrap/>
            <w:vAlign w:val="center"/>
          </w:tcPr>
          <w:p w14:paraId="466F8AE6">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98.88%</w:t>
            </w:r>
          </w:p>
        </w:tc>
      </w:tr>
      <w:tr w14:paraId="56CFAC66">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1EE44E90">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17</w:t>
            </w:r>
          </w:p>
        </w:tc>
        <w:tc>
          <w:tcPr>
            <w:tcW w:w="2760" w:type="dxa"/>
            <w:tcBorders>
              <w:top w:val="nil"/>
              <w:left w:val="nil"/>
              <w:bottom w:val="single" w:color="auto" w:sz="4" w:space="0"/>
              <w:right w:val="single" w:color="auto" w:sz="4" w:space="0"/>
            </w:tcBorders>
            <w:shd w:val="clear" w:color="auto" w:fill="auto"/>
            <w:vAlign w:val="center"/>
          </w:tcPr>
          <w:p w14:paraId="37A6AB5A">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因公出国（境）类项目</w:t>
            </w:r>
          </w:p>
        </w:tc>
        <w:tc>
          <w:tcPr>
            <w:tcW w:w="1800" w:type="dxa"/>
            <w:tcBorders>
              <w:top w:val="nil"/>
              <w:left w:val="nil"/>
              <w:bottom w:val="single" w:color="auto" w:sz="4" w:space="0"/>
              <w:right w:val="single" w:color="auto" w:sz="4" w:space="0"/>
            </w:tcBorders>
            <w:shd w:val="clear" w:color="auto" w:fill="auto"/>
            <w:noWrap/>
            <w:vAlign w:val="center"/>
          </w:tcPr>
          <w:p w14:paraId="100868A6">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3,437,348.05</w:t>
            </w:r>
          </w:p>
        </w:tc>
        <w:tc>
          <w:tcPr>
            <w:tcW w:w="1960" w:type="dxa"/>
            <w:tcBorders>
              <w:top w:val="nil"/>
              <w:left w:val="nil"/>
              <w:bottom w:val="single" w:color="auto" w:sz="4" w:space="0"/>
              <w:right w:val="single" w:color="auto" w:sz="4" w:space="0"/>
            </w:tcBorders>
            <w:shd w:val="clear" w:color="auto" w:fill="auto"/>
            <w:noWrap/>
            <w:vAlign w:val="center"/>
          </w:tcPr>
          <w:p w14:paraId="2DA370B0">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2,709,516.80</w:t>
            </w:r>
          </w:p>
        </w:tc>
        <w:tc>
          <w:tcPr>
            <w:tcW w:w="1840" w:type="dxa"/>
            <w:tcBorders>
              <w:top w:val="nil"/>
              <w:left w:val="nil"/>
              <w:bottom w:val="single" w:color="auto" w:sz="4" w:space="0"/>
              <w:right w:val="single" w:color="auto" w:sz="4" w:space="0"/>
            </w:tcBorders>
            <w:shd w:val="clear" w:color="auto" w:fill="auto"/>
            <w:noWrap/>
            <w:vAlign w:val="center"/>
          </w:tcPr>
          <w:p w14:paraId="7226D53E">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78.83%</w:t>
            </w:r>
          </w:p>
        </w:tc>
      </w:tr>
      <w:tr w14:paraId="19DDB919">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7815AF13">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18</w:t>
            </w:r>
          </w:p>
        </w:tc>
        <w:tc>
          <w:tcPr>
            <w:tcW w:w="2760" w:type="dxa"/>
            <w:tcBorders>
              <w:top w:val="nil"/>
              <w:left w:val="nil"/>
              <w:bottom w:val="single" w:color="auto" w:sz="4" w:space="0"/>
              <w:right w:val="single" w:color="auto" w:sz="4" w:space="0"/>
            </w:tcBorders>
            <w:shd w:val="clear" w:color="auto" w:fill="auto"/>
            <w:vAlign w:val="center"/>
          </w:tcPr>
          <w:p w14:paraId="72EA6CED">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市级“服务包”企业投资动态智能监测服务</w:t>
            </w:r>
          </w:p>
        </w:tc>
        <w:tc>
          <w:tcPr>
            <w:tcW w:w="1800" w:type="dxa"/>
            <w:tcBorders>
              <w:top w:val="nil"/>
              <w:left w:val="nil"/>
              <w:bottom w:val="single" w:color="auto" w:sz="4" w:space="0"/>
              <w:right w:val="single" w:color="auto" w:sz="4" w:space="0"/>
            </w:tcBorders>
            <w:shd w:val="clear" w:color="auto" w:fill="auto"/>
            <w:noWrap/>
            <w:vAlign w:val="center"/>
          </w:tcPr>
          <w:p w14:paraId="2661B836">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243,600.00</w:t>
            </w:r>
          </w:p>
        </w:tc>
        <w:tc>
          <w:tcPr>
            <w:tcW w:w="1960" w:type="dxa"/>
            <w:tcBorders>
              <w:top w:val="nil"/>
              <w:left w:val="nil"/>
              <w:bottom w:val="single" w:color="auto" w:sz="4" w:space="0"/>
              <w:right w:val="single" w:color="auto" w:sz="4" w:space="0"/>
            </w:tcBorders>
            <w:shd w:val="clear" w:color="auto" w:fill="auto"/>
            <w:noWrap/>
            <w:vAlign w:val="center"/>
          </w:tcPr>
          <w:p w14:paraId="0DE4A9B1">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243,600.00</w:t>
            </w:r>
          </w:p>
        </w:tc>
        <w:tc>
          <w:tcPr>
            <w:tcW w:w="1840" w:type="dxa"/>
            <w:tcBorders>
              <w:top w:val="nil"/>
              <w:left w:val="nil"/>
              <w:bottom w:val="single" w:color="auto" w:sz="4" w:space="0"/>
              <w:right w:val="single" w:color="auto" w:sz="4" w:space="0"/>
            </w:tcBorders>
            <w:shd w:val="clear" w:color="auto" w:fill="auto"/>
            <w:noWrap/>
            <w:vAlign w:val="center"/>
          </w:tcPr>
          <w:p w14:paraId="184E9603">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6C484874">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6A12BCE9">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19</w:t>
            </w:r>
          </w:p>
        </w:tc>
        <w:tc>
          <w:tcPr>
            <w:tcW w:w="2760" w:type="dxa"/>
            <w:tcBorders>
              <w:top w:val="nil"/>
              <w:left w:val="nil"/>
              <w:bottom w:val="single" w:color="auto" w:sz="4" w:space="0"/>
              <w:right w:val="single" w:color="auto" w:sz="4" w:space="0"/>
            </w:tcBorders>
            <w:shd w:val="clear" w:color="auto" w:fill="auto"/>
            <w:vAlign w:val="center"/>
          </w:tcPr>
          <w:p w14:paraId="6BE625C3">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舆情监测及舆情信息分析提供</w:t>
            </w:r>
          </w:p>
        </w:tc>
        <w:tc>
          <w:tcPr>
            <w:tcW w:w="1800" w:type="dxa"/>
            <w:tcBorders>
              <w:top w:val="nil"/>
              <w:left w:val="nil"/>
              <w:bottom w:val="single" w:color="auto" w:sz="4" w:space="0"/>
              <w:right w:val="single" w:color="auto" w:sz="4" w:space="0"/>
            </w:tcBorders>
            <w:shd w:val="clear" w:color="auto" w:fill="auto"/>
            <w:noWrap/>
            <w:vAlign w:val="center"/>
          </w:tcPr>
          <w:p w14:paraId="774391FD">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250,000.00</w:t>
            </w:r>
          </w:p>
        </w:tc>
        <w:tc>
          <w:tcPr>
            <w:tcW w:w="1960" w:type="dxa"/>
            <w:tcBorders>
              <w:top w:val="nil"/>
              <w:left w:val="nil"/>
              <w:bottom w:val="single" w:color="auto" w:sz="4" w:space="0"/>
              <w:right w:val="single" w:color="auto" w:sz="4" w:space="0"/>
            </w:tcBorders>
            <w:shd w:val="clear" w:color="auto" w:fill="auto"/>
            <w:noWrap/>
            <w:vAlign w:val="center"/>
          </w:tcPr>
          <w:p w14:paraId="76448354">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250,000.00</w:t>
            </w:r>
          </w:p>
        </w:tc>
        <w:tc>
          <w:tcPr>
            <w:tcW w:w="1840" w:type="dxa"/>
            <w:tcBorders>
              <w:top w:val="nil"/>
              <w:left w:val="nil"/>
              <w:bottom w:val="single" w:color="auto" w:sz="4" w:space="0"/>
              <w:right w:val="single" w:color="auto" w:sz="4" w:space="0"/>
            </w:tcBorders>
            <w:shd w:val="clear" w:color="auto" w:fill="auto"/>
            <w:noWrap/>
            <w:vAlign w:val="center"/>
          </w:tcPr>
          <w:p w14:paraId="3D6F276D">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6E5C66D9">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2C106B66">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20</w:t>
            </w:r>
          </w:p>
        </w:tc>
        <w:tc>
          <w:tcPr>
            <w:tcW w:w="2760" w:type="dxa"/>
            <w:tcBorders>
              <w:top w:val="nil"/>
              <w:left w:val="nil"/>
              <w:bottom w:val="single" w:color="auto" w:sz="4" w:space="0"/>
              <w:right w:val="single" w:color="auto" w:sz="4" w:space="0"/>
            </w:tcBorders>
            <w:shd w:val="clear" w:color="auto" w:fill="auto"/>
            <w:vAlign w:val="center"/>
          </w:tcPr>
          <w:p w14:paraId="0CF4F935">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《北京市“十四五”时期投资促进规划》中期评估工作</w:t>
            </w:r>
          </w:p>
        </w:tc>
        <w:tc>
          <w:tcPr>
            <w:tcW w:w="1800" w:type="dxa"/>
            <w:tcBorders>
              <w:top w:val="nil"/>
              <w:left w:val="nil"/>
              <w:bottom w:val="single" w:color="auto" w:sz="4" w:space="0"/>
              <w:right w:val="single" w:color="auto" w:sz="4" w:space="0"/>
            </w:tcBorders>
            <w:shd w:val="clear" w:color="auto" w:fill="auto"/>
            <w:noWrap/>
            <w:vAlign w:val="center"/>
          </w:tcPr>
          <w:p w14:paraId="2D090EDE">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99,000.00</w:t>
            </w:r>
          </w:p>
        </w:tc>
        <w:tc>
          <w:tcPr>
            <w:tcW w:w="1960" w:type="dxa"/>
            <w:tcBorders>
              <w:top w:val="nil"/>
              <w:left w:val="nil"/>
              <w:bottom w:val="single" w:color="auto" w:sz="4" w:space="0"/>
              <w:right w:val="single" w:color="auto" w:sz="4" w:space="0"/>
            </w:tcBorders>
            <w:shd w:val="clear" w:color="auto" w:fill="auto"/>
            <w:noWrap/>
            <w:vAlign w:val="center"/>
          </w:tcPr>
          <w:p w14:paraId="4F8C1F5B">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99,000.00</w:t>
            </w:r>
          </w:p>
        </w:tc>
        <w:tc>
          <w:tcPr>
            <w:tcW w:w="1840" w:type="dxa"/>
            <w:tcBorders>
              <w:top w:val="nil"/>
              <w:left w:val="nil"/>
              <w:bottom w:val="single" w:color="auto" w:sz="4" w:space="0"/>
              <w:right w:val="single" w:color="auto" w:sz="4" w:space="0"/>
            </w:tcBorders>
            <w:shd w:val="clear" w:color="auto" w:fill="auto"/>
            <w:noWrap/>
            <w:vAlign w:val="center"/>
          </w:tcPr>
          <w:p w14:paraId="4D9BD58D">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100.00%</w:t>
            </w:r>
          </w:p>
        </w:tc>
      </w:tr>
      <w:tr w14:paraId="5AE2CAC9">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69E290DC">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21</w:t>
            </w:r>
          </w:p>
        </w:tc>
        <w:tc>
          <w:tcPr>
            <w:tcW w:w="2760" w:type="dxa"/>
            <w:tcBorders>
              <w:top w:val="nil"/>
              <w:left w:val="nil"/>
              <w:bottom w:val="single" w:color="auto" w:sz="4" w:space="0"/>
              <w:right w:val="single" w:color="auto" w:sz="4" w:space="0"/>
            </w:tcBorders>
            <w:shd w:val="clear" w:color="auto" w:fill="auto"/>
            <w:vAlign w:val="center"/>
          </w:tcPr>
          <w:p w14:paraId="33DC35D8">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RCEP政策联合宣传讲解活动</w:t>
            </w:r>
          </w:p>
        </w:tc>
        <w:tc>
          <w:tcPr>
            <w:tcW w:w="1800" w:type="dxa"/>
            <w:tcBorders>
              <w:top w:val="nil"/>
              <w:left w:val="nil"/>
              <w:bottom w:val="single" w:color="auto" w:sz="4" w:space="0"/>
              <w:right w:val="single" w:color="auto" w:sz="4" w:space="0"/>
            </w:tcBorders>
            <w:shd w:val="clear" w:color="auto" w:fill="auto"/>
            <w:noWrap/>
            <w:vAlign w:val="center"/>
          </w:tcPr>
          <w:p w14:paraId="220A64DB">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120,000.00</w:t>
            </w:r>
          </w:p>
        </w:tc>
        <w:tc>
          <w:tcPr>
            <w:tcW w:w="1960" w:type="dxa"/>
            <w:tcBorders>
              <w:top w:val="nil"/>
              <w:left w:val="nil"/>
              <w:bottom w:val="single" w:color="auto" w:sz="4" w:space="0"/>
              <w:right w:val="single" w:color="auto" w:sz="4" w:space="0"/>
            </w:tcBorders>
            <w:shd w:val="clear" w:color="auto" w:fill="auto"/>
            <w:noWrap/>
            <w:vAlign w:val="center"/>
          </w:tcPr>
          <w:p w14:paraId="03CBE0AE">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108,600.00</w:t>
            </w:r>
          </w:p>
        </w:tc>
        <w:tc>
          <w:tcPr>
            <w:tcW w:w="1840" w:type="dxa"/>
            <w:tcBorders>
              <w:top w:val="nil"/>
              <w:left w:val="nil"/>
              <w:bottom w:val="single" w:color="auto" w:sz="4" w:space="0"/>
              <w:right w:val="single" w:color="auto" w:sz="4" w:space="0"/>
            </w:tcBorders>
            <w:shd w:val="clear" w:color="auto" w:fill="auto"/>
            <w:noWrap/>
            <w:vAlign w:val="center"/>
          </w:tcPr>
          <w:p w14:paraId="3F7732C0">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90.50%</w:t>
            </w:r>
          </w:p>
        </w:tc>
      </w:tr>
      <w:tr w14:paraId="10826A77">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498A7575">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22</w:t>
            </w:r>
          </w:p>
        </w:tc>
        <w:tc>
          <w:tcPr>
            <w:tcW w:w="2760" w:type="dxa"/>
            <w:tcBorders>
              <w:top w:val="nil"/>
              <w:left w:val="nil"/>
              <w:bottom w:val="single" w:color="auto" w:sz="4" w:space="0"/>
              <w:right w:val="single" w:color="auto" w:sz="4" w:space="0"/>
            </w:tcBorders>
            <w:shd w:val="clear" w:color="auto" w:fill="auto"/>
            <w:vAlign w:val="center"/>
          </w:tcPr>
          <w:p w14:paraId="5FC8EDAE">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绩效/评审/采购等管理经费</w:t>
            </w:r>
          </w:p>
        </w:tc>
        <w:tc>
          <w:tcPr>
            <w:tcW w:w="1800" w:type="dxa"/>
            <w:tcBorders>
              <w:top w:val="nil"/>
              <w:left w:val="nil"/>
              <w:bottom w:val="single" w:color="auto" w:sz="4" w:space="0"/>
              <w:right w:val="single" w:color="auto" w:sz="4" w:space="0"/>
            </w:tcBorders>
            <w:shd w:val="clear" w:color="auto" w:fill="auto"/>
            <w:noWrap/>
            <w:vAlign w:val="center"/>
          </w:tcPr>
          <w:p w14:paraId="3A5326CB">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600,000.00</w:t>
            </w:r>
          </w:p>
        </w:tc>
        <w:tc>
          <w:tcPr>
            <w:tcW w:w="1960" w:type="dxa"/>
            <w:tcBorders>
              <w:top w:val="nil"/>
              <w:left w:val="nil"/>
              <w:bottom w:val="single" w:color="auto" w:sz="4" w:space="0"/>
              <w:right w:val="single" w:color="auto" w:sz="4" w:space="0"/>
            </w:tcBorders>
            <w:shd w:val="clear" w:color="auto" w:fill="auto"/>
            <w:noWrap/>
            <w:vAlign w:val="center"/>
          </w:tcPr>
          <w:p w14:paraId="230419E2">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583,900.00</w:t>
            </w:r>
          </w:p>
        </w:tc>
        <w:tc>
          <w:tcPr>
            <w:tcW w:w="1840" w:type="dxa"/>
            <w:tcBorders>
              <w:top w:val="nil"/>
              <w:left w:val="nil"/>
              <w:bottom w:val="single" w:color="auto" w:sz="4" w:space="0"/>
              <w:right w:val="single" w:color="auto" w:sz="4" w:space="0"/>
            </w:tcBorders>
            <w:shd w:val="clear" w:color="auto" w:fill="auto"/>
            <w:noWrap/>
            <w:vAlign w:val="center"/>
          </w:tcPr>
          <w:p w14:paraId="6F61A84C">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97.32%</w:t>
            </w:r>
          </w:p>
        </w:tc>
      </w:tr>
      <w:tr w14:paraId="24294FB0">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763B1EA2">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23</w:t>
            </w:r>
          </w:p>
        </w:tc>
        <w:tc>
          <w:tcPr>
            <w:tcW w:w="2760" w:type="dxa"/>
            <w:tcBorders>
              <w:top w:val="nil"/>
              <w:left w:val="nil"/>
              <w:bottom w:val="single" w:color="auto" w:sz="4" w:space="0"/>
              <w:right w:val="single" w:color="auto" w:sz="4" w:space="0"/>
            </w:tcBorders>
            <w:shd w:val="clear" w:color="auto" w:fill="auto"/>
            <w:vAlign w:val="center"/>
          </w:tcPr>
          <w:p w14:paraId="55133106">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机动经费</w:t>
            </w:r>
          </w:p>
        </w:tc>
        <w:tc>
          <w:tcPr>
            <w:tcW w:w="1800" w:type="dxa"/>
            <w:tcBorders>
              <w:top w:val="nil"/>
              <w:left w:val="nil"/>
              <w:bottom w:val="single" w:color="auto" w:sz="4" w:space="0"/>
              <w:right w:val="single" w:color="auto" w:sz="4" w:space="0"/>
            </w:tcBorders>
            <w:shd w:val="clear" w:color="auto" w:fill="auto"/>
            <w:noWrap/>
            <w:vAlign w:val="center"/>
          </w:tcPr>
          <w:p w14:paraId="5C4C9CE7">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316,105.49</w:t>
            </w:r>
          </w:p>
        </w:tc>
        <w:tc>
          <w:tcPr>
            <w:tcW w:w="1960" w:type="dxa"/>
            <w:tcBorders>
              <w:top w:val="nil"/>
              <w:left w:val="nil"/>
              <w:bottom w:val="single" w:color="auto" w:sz="4" w:space="0"/>
              <w:right w:val="single" w:color="auto" w:sz="4" w:space="0"/>
            </w:tcBorders>
            <w:shd w:val="clear" w:color="auto" w:fill="auto"/>
            <w:noWrap/>
            <w:vAlign w:val="center"/>
          </w:tcPr>
          <w:p w14:paraId="022C2F13">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133,072.40</w:t>
            </w:r>
          </w:p>
        </w:tc>
        <w:tc>
          <w:tcPr>
            <w:tcW w:w="1840" w:type="dxa"/>
            <w:tcBorders>
              <w:top w:val="nil"/>
              <w:left w:val="nil"/>
              <w:bottom w:val="single" w:color="auto" w:sz="4" w:space="0"/>
              <w:right w:val="single" w:color="auto" w:sz="4" w:space="0"/>
            </w:tcBorders>
            <w:shd w:val="clear" w:color="auto" w:fill="auto"/>
            <w:noWrap/>
            <w:vAlign w:val="center"/>
          </w:tcPr>
          <w:p w14:paraId="7416A79E">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42.10%</w:t>
            </w:r>
          </w:p>
        </w:tc>
      </w:tr>
      <w:tr w14:paraId="703EFC29">
        <w:tblPrEx>
          <w:tblCellMar>
            <w:top w:w="0" w:type="dxa"/>
            <w:left w:w="108" w:type="dxa"/>
            <w:bottom w:w="0" w:type="dxa"/>
            <w:right w:w="108" w:type="dxa"/>
          </w:tblCellMar>
        </w:tblPrEx>
        <w:trPr>
          <w:trHeight w:val="54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5FE2E415">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24</w:t>
            </w:r>
          </w:p>
        </w:tc>
        <w:tc>
          <w:tcPr>
            <w:tcW w:w="2760" w:type="dxa"/>
            <w:tcBorders>
              <w:top w:val="nil"/>
              <w:left w:val="nil"/>
              <w:bottom w:val="single" w:color="auto" w:sz="4" w:space="0"/>
              <w:right w:val="single" w:color="auto" w:sz="4" w:space="0"/>
            </w:tcBorders>
            <w:shd w:val="clear" w:color="auto" w:fill="auto"/>
            <w:vAlign w:val="center"/>
          </w:tcPr>
          <w:p w14:paraId="1E54EEF8">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与在京国际商会联络服务对话系列活动</w:t>
            </w:r>
          </w:p>
        </w:tc>
        <w:tc>
          <w:tcPr>
            <w:tcW w:w="1800" w:type="dxa"/>
            <w:tcBorders>
              <w:top w:val="nil"/>
              <w:left w:val="nil"/>
              <w:bottom w:val="single" w:color="auto" w:sz="4" w:space="0"/>
              <w:right w:val="single" w:color="auto" w:sz="4" w:space="0"/>
            </w:tcBorders>
            <w:shd w:val="clear" w:color="auto" w:fill="auto"/>
            <w:noWrap/>
            <w:vAlign w:val="center"/>
          </w:tcPr>
          <w:p w14:paraId="3B6064CE">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231,200.00</w:t>
            </w:r>
          </w:p>
        </w:tc>
        <w:tc>
          <w:tcPr>
            <w:tcW w:w="1960" w:type="dxa"/>
            <w:tcBorders>
              <w:top w:val="nil"/>
              <w:left w:val="nil"/>
              <w:bottom w:val="single" w:color="auto" w:sz="4" w:space="0"/>
              <w:right w:val="single" w:color="auto" w:sz="4" w:space="0"/>
            </w:tcBorders>
            <w:shd w:val="clear" w:color="auto" w:fill="auto"/>
            <w:noWrap/>
            <w:vAlign w:val="center"/>
          </w:tcPr>
          <w:p w14:paraId="7C07FBF6">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167,873.00</w:t>
            </w:r>
          </w:p>
        </w:tc>
        <w:tc>
          <w:tcPr>
            <w:tcW w:w="1840" w:type="dxa"/>
            <w:tcBorders>
              <w:top w:val="nil"/>
              <w:left w:val="nil"/>
              <w:bottom w:val="single" w:color="auto" w:sz="4" w:space="0"/>
              <w:right w:val="single" w:color="auto" w:sz="4" w:space="0"/>
            </w:tcBorders>
            <w:shd w:val="clear" w:color="auto" w:fill="auto"/>
            <w:noWrap/>
            <w:vAlign w:val="center"/>
          </w:tcPr>
          <w:p w14:paraId="595A175C">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72.61%</w:t>
            </w:r>
          </w:p>
        </w:tc>
      </w:tr>
      <w:tr w14:paraId="40E8CB22">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B5CA5A2">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25</w:t>
            </w:r>
          </w:p>
        </w:tc>
        <w:tc>
          <w:tcPr>
            <w:tcW w:w="2760" w:type="dxa"/>
            <w:tcBorders>
              <w:top w:val="nil"/>
              <w:left w:val="nil"/>
              <w:bottom w:val="single" w:color="auto" w:sz="4" w:space="0"/>
              <w:right w:val="single" w:color="auto" w:sz="4" w:space="0"/>
            </w:tcBorders>
            <w:shd w:val="clear" w:color="auto" w:fill="auto"/>
            <w:vAlign w:val="center"/>
          </w:tcPr>
          <w:p w14:paraId="6C4B11B0">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服贸会“北京日”活动</w:t>
            </w:r>
          </w:p>
        </w:tc>
        <w:tc>
          <w:tcPr>
            <w:tcW w:w="1800" w:type="dxa"/>
            <w:tcBorders>
              <w:top w:val="nil"/>
              <w:left w:val="nil"/>
              <w:bottom w:val="single" w:color="auto" w:sz="4" w:space="0"/>
              <w:right w:val="single" w:color="auto" w:sz="4" w:space="0"/>
            </w:tcBorders>
            <w:shd w:val="clear" w:color="auto" w:fill="auto"/>
            <w:noWrap/>
            <w:vAlign w:val="center"/>
          </w:tcPr>
          <w:p w14:paraId="16F284FA">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750,000.00</w:t>
            </w:r>
          </w:p>
        </w:tc>
        <w:tc>
          <w:tcPr>
            <w:tcW w:w="1960" w:type="dxa"/>
            <w:tcBorders>
              <w:top w:val="nil"/>
              <w:left w:val="nil"/>
              <w:bottom w:val="single" w:color="auto" w:sz="4" w:space="0"/>
              <w:right w:val="single" w:color="auto" w:sz="4" w:space="0"/>
            </w:tcBorders>
            <w:shd w:val="clear" w:color="auto" w:fill="auto"/>
            <w:noWrap/>
            <w:vAlign w:val="center"/>
          </w:tcPr>
          <w:p w14:paraId="70E41DFE">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736,568.70</w:t>
            </w:r>
          </w:p>
        </w:tc>
        <w:tc>
          <w:tcPr>
            <w:tcW w:w="1840" w:type="dxa"/>
            <w:tcBorders>
              <w:top w:val="nil"/>
              <w:left w:val="nil"/>
              <w:bottom w:val="single" w:color="auto" w:sz="4" w:space="0"/>
              <w:right w:val="single" w:color="auto" w:sz="4" w:space="0"/>
            </w:tcBorders>
            <w:shd w:val="clear" w:color="auto" w:fill="auto"/>
            <w:noWrap/>
            <w:vAlign w:val="center"/>
          </w:tcPr>
          <w:p w14:paraId="7A5F9BCC">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98.21%</w:t>
            </w:r>
          </w:p>
        </w:tc>
      </w:tr>
      <w:tr w14:paraId="190E74FA">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32BF28CA">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26</w:t>
            </w:r>
          </w:p>
        </w:tc>
        <w:tc>
          <w:tcPr>
            <w:tcW w:w="2760" w:type="dxa"/>
            <w:tcBorders>
              <w:top w:val="nil"/>
              <w:left w:val="nil"/>
              <w:bottom w:val="single" w:color="auto" w:sz="4" w:space="0"/>
              <w:right w:val="single" w:color="auto" w:sz="4" w:space="0"/>
            </w:tcBorders>
            <w:shd w:val="clear" w:color="auto" w:fill="auto"/>
            <w:vAlign w:val="center"/>
          </w:tcPr>
          <w:p w14:paraId="6A8C9310">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信息化运维服务</w:t>
            </w:r>
          </w:p>
        </w:tc>
        <w:tc>
          <w:tcPr>
            <w:tcW w:w="1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F2CA2B">
            <w:pPr>
              <w:widowControl/>
              <w:jc w:val="right"/>
              <w:rPr>
                <w:rFonts w:hint="eastAsia" w:ascii="宋体" w:hAnsi="宋体" w:eastAsia="宋体" w:cs="宋体"/>
                <w:kern w:val="0"/>
                <w:sz w:val="20"/>
                <w:szCs w:val="20"/>
              </w:rPr>
            </w:pPr>
            <w:r>
              <w:rPr>
                <w:rFonts w:hint="eastAsia" w:ascii="宋体" w:hAnsi="宋体" w:eastAsia="宋体" w:cs="Arial"/>
                <w:sz w:val="20"/>
                <w:szCs w:val="20"/>
              </w:rPr>
              <w:t>1,169,166.30</w:t>
            </w:r>
          </w:p>
        </w:tc>
        <w:tc>
          <w:tcPr>
            <w:tcW w:w="1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42A90A">
            <w:pPr>
              <w:widowControl/>
              <w:jc w:val="right"/>
              <w:rPr>
                <w:rFonts w:hint="eastAsia" w:ascii="宋体" w:hAnsi="宋体" w:eastAsia="宋体" w:cs="宋体"/>
                <w:kern w:val="0"/>
                <w:sz w:val="20"/>
                <w:szCs w:val="20"/>
              </w:rPr>
            </w:pPr>
            <w:r>
              <w:rPr>
                <w:rFonts w:hint="eastAsia" w:ascii="宋体" w:hAnsi="宋体" w:eastAsia="宋体" w:cs="Arial"/>
                <w:sz w:val="20"/>
                <w:szCs w:val="20"/>
              </w:rPr>
              <w:t>1,160,959.00</w:t>
            </w:r>
          </w:p>
        </w:tc>
        <w:tc>
          <w:tcPr>
            <w:tcW w:w="1840" w:type="dxa"/>
            <w:tcBorders>
              <w:top w:val="nil"/>
              <w:left w:val="nil"/>
              <w:bottom w:val="single" w:color="auto" w:sz="4" w:space="0"/>
              <w:right w:val="single" w:color="auto" w:sz="4" w:space="0"/>
            </w:tcBorders>
            <w:shd w:val="clear" w:color="auto" w:fill="auto"/>
            <w:noWrap/>
            <w:vAlign w:val="center"/>
          </w:tcPr>
          <w:p w14:paraId="565BC12B">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99.3%</w:t>
            </w:r>
          </w:p>
        </w:tc>
      </w:tr>
      <w:tr w14:paraId="75F1D4A1">
        <w:tblPrEx>
          <w:tblCellMar>
            <w:top w:w="0" w:type="dxa"/>
            <w:left w:w="108" w:type="dxa"/>
            <w:bottom w:w="0" w:type="dxa"/>
            <w:right w:w="108" w:type="dxa"/>
          </w:tblCellMar>
        </w:tblPrEx>
        <w:trPr>
          <w:trHeight w:val="270" w:hRule="atLeast"/>
          <w:jc w:val="center"/>
        </w:trPr>
        <w:tc>
          <w:tcPr>
            <w:tcW w:w="920" w:type="dxa"/>
            <w:tcBorders>
              <w:top w:val="nil"/>
              <w:left w:val="single" w:color="auto" w:sz="4" w:space="0"/>
              <w:bottom w:val="single" w:color="auto" w:sz="4" w:space="0"/>
              <w:right w:val="single" w:color="auto" w:sz="4" w:space="0"/>
            </w:tcBorders>
            <w:shd w:val="clear" w:color="auto" w:fill="auto"/>
            <w:noWrap/>
            <w:vAlign w:val="center"/>
          </w:tcPr>
          <w:p w14:paraId="6AF27590">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27</w:t>
            </w:r>
          </w:p>
        </w:tc>
        <w:tc>
          <w:tcPr>
            <w:tcW w:w="2760" w:type="dxa"/>
            <w:tcBorders>
              <w:top w:val="nil"/>
              <w:left w:val="nil"/>
              <w:bottom w:val="single" w:color="auto" w:sz="4" w:space="0"/>
              <w:right w:val="single" w:color="auto" w:sz="4" w:space="0"/>
            </w:tcBorders>
            <w:shd w:val="clear" w:color="auto" w:fill="auto"/>
            <w:vAlign w:val="center"/>
          </w:tcPr>
          <w:p w14:paraId="7294F73E">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运行保障项目</w:t>
            </w:r>
          </w:p>
        </w:tc>
        <w:tc>
          <w:tcPr>
            <w:tcW w:w="1800" w:type="dxa"/>
            <w:tcBorders>
              <w:top w:val="nil"/>
              <w:left w:val="single" w:color="auto" w:sz="4" w:space="0"/>
              <w:bottom w:val="single" w:color="auto" w:sz="4" w:space="0"/>
              <w:right w:val="single" w:color="auto" w:sz="4" w:space="0"/>
            </w:tcBorders>
            <w:shd w:val="clear" w:color="auto" w:fill="auto"/>
            <w:noWrap/>
            <w:vAlign w:val="center"/>
          </w:tcPr>
          <w:p w14:paraId="57DDEEF2">
            <w:pPr>
              <w:widowControl/>
              <w:jc w:val="right"/>
              <w:rPr>
                <w:rFonts w:hint="eastAsia" w:ascii="宋体" w:hAnsi="宋体" w:eastAsia="宋体" w:cs="宋体"/>
                <w:kern w:val="0"/>
                <w:sz w:val="20"/>
                <w:szCs w:val="20"/>
              </w:rPr>
            </w:pPr>
            <w:r>
              <w:rPr>
                <w:rFonts w:hint="eastAsia" w:ascii="宋体" w:hAnsi="宋体" w:eastAsia="宋体" w:cs="Arial"/>
                <w:sz w:val="20"/>
                <w:szCs w:val="20"/>
              </w:rPr>
              <w:t>161,280.00</w:t>
            </w:r>
          </w:p>
        </w:tc>
        <w:tc>
          <w:tcPr>
            <w:tcW w:w="1960" w:type="dxa"/>
            <w:tcBorders>
              <w:top w:val="nil"/>
              <w:left w:val="single" w:color="auto" w:sz="4" w:space="0"/>
              <w:bottom w:val="single" w:color="auto" w:sz="4" w:space="0"/>
              <w:right w:val="single" w:color="auto" w:sz="4" w:space="0"/>
            </w:tcBorders>
            <w:shd w:val="clear" w:color="auto" w:fill="auto"/>
            <w:noWrap/>
            <w:vAlign w:val="center"/>
          </w:tcPr>
          <w:p w14:paraId="7824A9A1">
            <w:pPr>
              <w:widowControl/>
              <w:jc w:val="right"/>
              <w:rPr>
                <w:rFonts w:hint="eastAsia" w:ascii="宋体" w:hAnsi="宋体" w:eastAsia="宋体" w:cs="宋体"/>
                <w:kern w:val="0"/>
                <w:sz w:val="20"/>
                <w:szCs w:val="20"/>
              </w:rPr>
            </w:pPr>
            <w:r>
              <w:rPr>
                <w:rFonts w:hint="eastAsia" w:ascii="宋体" w:hAnsi="宋体" w:eastAsia="宋体" w:cs="Arial"/>
                <w:sz w:val="20"/>
                <w:szCs w:val="20"/>
              </w:rPr>
              <w:t>141,960.00</w:t>
            </w:r>
          </w:p>
        </w:tc>
        <w:tc>
          <w:tcPr>
            <w:tcW w:w="1840" w:type="dxa"/>
            <w:tcBorders>
              <w:top w:val="nil"/>
              <w:left w:val="nil"/>
              <w:bottom w:val="single" w:color="auto" w:sz="4" w:space="0"/>
              <w:right w:val="single" w:color="auto" w:sz="4" w:space="0"/>
            </w:tcBorders>
            <w:shd w:val="clear" w:color="auto" w:fill="auto"/>
            <w:noWrap/>
            <w:vAlign w:val="center"/>
          </w:tcPr>
          <w:p w14:paraId="318C7F06">
            <w:pPr>
              <w:widowControl/>
              <w:jc w:val="right"/>
              <w:rPr>
                <w:rFonts w:hint="eastAsia" w:ascii="宋体" w:hAnsi="宋体" w:eastAsia="宋体" w:cs="宋体"/>
                <w:color w:val="000000"/>
                <w:kern w:val="0"/>
                <w:sz w:val="22"/>
              </w:rPr>
            </w:pPr>
            <w:r>
              <w:rPr>
                <w:rFonts w:hint="eastAsia" w:ascii="宋体" w:hAnsi="宋体" w:eastAsia="宋体" w:cs="宋体"/>
                <w:color w:val="000000"/>
                <w:kern w:val="0"/>
                <w:sz w:val="22"/>
              </w:rPr>
              <w:t>88.02%</w:t>
            </w:r>
          </w:p>
        </w:tc>
      </w:tr>
      <w:tr w14:paraId="3F2EC721">
        <w:tblPrEx>
          <w:tblCellMar>
            <w:top w:w="0" w:type="dxa"/>
            <w:left w:w="108" w:type="dxa"/>
            <w:bottom w:w="0" w:type="dxa"/>
            <w:right w:w="108" w:type="dxa"/>
          </w:tblCellMar>
        </w:tblPrEx>
        <w:trPr>
          <w:trHeight w:val="443" w:hRule="atLeast"/>
          <w:jc w:val="center"/>
        </w:trPr>
        <w:tc>
          <w:tcPr>
            <w:tcW w:w="36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DC5B217">
            <w:pPr>
              <w:widowControl/>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合计</w:t>
            </w:r>
          </w:p>
        </w:tc>
        <w:tc>
          <w:tcPr>
            <w:tcW w:w="1800" w:type="dxa"/>
            <w:tcBorders>
              <w:top w:val="nil"/>
              <w:left w:val="nil"/>
              <w:bottom w:val="single" w:color="auto" w:sz="4" w:space="0"/>
              <w:right w:val="single" w:color="auto" w:sz="4" w:space="0"/>
            </w:tcBorders>
            <w:shd w:val="clear" w:color="auto" w:fill="auto"/>
            <w:noWrap/>
            <w:vAlign w:val="center"/>
          </w:tcPr>
          <w:p w14:paraId="644DF4EB">
            <w:pPr>
              <w:widowControl/>
              <w:jc w:val="right"/>
              <w:rPr>
                <w:rFonts w:hint="eastAsia" w:ascii="宋体" w:hAnsi="宋体" w:eastAsia="宋体" w:cs="宋体"/>
                <w:b/>
                <w:bCs/>
                <w:color w:val="000000"/>
                <w:kern w:val="0"/>
                <w:sz w:val="22"/>
              </w:rPr>
            </w:pPr>
            <w:r>
              <w:rPr>
                <w:rFonts w:hint="eastAsia" w:ascii="宋体" w:hAnsi="宋体" w:eastAsia="宋体" w:cs="宋体"/>
                <w:b/>
                <w:bCs/>
                <w:color w:val="000000"/>
                <w:kern w:val="0"/>
                <w:sz w:val="22"/>
              </w:rPr>
              <w:fldChar w:fldCharType="begin"/>
            </w:r>
            <w:r>
              <w:rPr>
                <w:rFonts w:hint="eastAsia" w:ascii="宋体" w:hAnsi="宋体" w:eastAsia="宋体" w:cs="宋体"/>
                <w:b/>
                <w:bCs/>
                <w:color w:val="000000"/>
                <w:kern w:val="0"/>
                <w:sz w:val="22"/>
              </w:rPr>
              <w:instrText xml:space="preserve"> =SUM(ABOVE) </w:instrText>
            </w:r>
            <w:r>
              <w:rPr>
                <w:rFonts w:hint="eastAsia" w:ascii="宋体" w:hAnsi="宋体" w:eastAsia="宋体" w:cs="宋体"/>
                <w:b/>
                <w:bCs/>
                <w:color w:val="000000"/>
                <w:kern w:val="0"/>
                <w:sz w:val="22"/>
              </w:rPr>
              <w:fldChar w:fldCharType="separate"/>
            </w:r>
            <w:r>
              <w:rPr>
                <w:rFonts w:hint="eastAsia" w:ascii="宋体" w:hAnsi="宋体" w:eastAsia="宋体" w:cs="宋体"/>
                <w:b/>
                <w:bCs/>
                <w:color w:val="000000"/>
                <w:kern w:val="0"/>
                <w:sz w:val="22"/>
              </w:rPr>
              <w:t>20,101,235.4</w:t>
            </w:r>
            <w:r>
              <w:rPr>
                <w:rFonts w:hint="eastAsia" w:ascii="宋体" w:hAnsi="宋体" w:eastAsia="宋体" w:cs="宋体"/>
                <w:b/>
                <w:bCs/>
                <w:color w:val="000000"/>
                <w:kern w:val="0"/>
                <w:sz w:val="22"/>
              </w:rPr>
              <w:fldChar w:fldCharType="end"/>
            </w:r>
            <w:r>
              <w:rPr>
                <w:rFonts w:hint="eastAsia" w:ascii="宋体" w:hAnsi="宋体" w:eastAsia="宋体" w:cs="宋体"/>
                <w:b/>
                <w:bCs/>
                <w:color w:val="000000"/>
                <w:kern w:val="0"/>
                <w:sz w:val="22"/>
              </w:rPr>
              <w:t>0</w:t>
            </w:r>
          </w:p>
        </w:tc>
        <w:tc>
          <w:tcPr>
            <w:tcW w:w="1960" w:type="dxa"/>
            <w:tcBorders>
              <w:top w:val="nil"/>
              <w:left w:val="nil"/>
              <w:bottom w:val="single" w:color="auto" w:sz="4" w:space="0"/>
              <w:right w:val="single" w:color="auto" w:sz="4" w:space="0"/>
            </w:tcBorders>
            <w:shd w:val="clear" w:color="auto" w:fill="auto"/>
            <w:noWrap/>
            <w:vAlign w:val="center"/>
          </w:tcPr>
          <w:p w14:paraId="1DB9D009">
            <w:pPr>
              <w:widowControl/>
              <w:jc w:val="right"/>
              <w:rPr>
                <w:rFonts w:hint="eastAsia" w:ascii="宋体" w:hAnsi="宋体" w:eastAsia="宋体" w:cs="宋体"/>
                <w:b/>
                <w:bCs/>
                <w:color w:val="000000"/>
                <w:kern w:val="0"/>
                <w:sz w:val="22"/>
              </w:rPr>
            </w:pPr>
            <w:r>
              <w:rPr>
                <w:rFonts w:hint="eastAsia" w:ascii="宋体" w:hAnsi="宋体" w:eastAsia="宋体" w:cs="宋体"/>
                <w:b/>
                <w:bCs/>
                <w:color w:val="000000"/>
                <w:kern w:val="0"/>
                <w:sz w:val="22"/>
              </w:rPr>
              <w:fldChar w:fldCharType="begin"/>
            </w:r>
            <w:r>
              <w:rPr>
                <w:rFonts w:hint="eastAsia" w:ascii="宋体" w:hAnsi="宋体" w:eastAsia="宋体" w:cs="宋体"/>
                <w:b/>
                <w:bCs/>
                <w:color w:val="000000"/>
                <w:kern w:val="0"/>
                <w:sz w:val="22"/>
              </w:rPr>
              <w:instrText xml:space="preserve"> =SUM(ABOVE) </w:instrText>
            </w:r>
            <w:r>
              <w:rPr>
                <w:rFonts w:hint="eastAsia" w:ascii="宋体" w:hAnsi="宋体" w:eastAsia="宋体" w:cs="宋体"/>
                <w:b/>
                <w:bCs/>
                <w:color w:val="000000"/>
                <w:kern w:val="0"/>
                <w:sz w:val="22"/>
              </w:rPr>
              <w:fldChar w:fldCharType="separate"/>
            </w:r>
            <w:r>
              <w:rPr>
                <w:rFonts w:hint="eastAsia" w:ascii="宋体" w:hAnsi="宋体" w:eastAsia="宋体" w:cs="宋体"/>
                <w:b/>
                <w:bCs/>
                <w:color w:val="000000"/>
                <w:kern w:val="0"/>
                <w:sz w:val="22"/>
              </w:rPr>
              <w:t>18,791,246.89</w:t>
            </w:r>
            <w:r>
              <w:rPr>
                <w:rFonts w:hint="eastAsia" w:ascii="宋体" w:hAnsi="宋体" w:eastAsia="宋体" w:cs="宋体"/>
                <w:b/>
                <w:bCs/>
                <w:color w:val="000000"/>
                <w:kern w:val="0"/>
                <w:sz w:val="22"/>
              </w:rPr>
              <w:fldChar w:fldCharType="end"/>
            </w:r>
          </w:p>
        </w:tc>
        <w:tc>
          <w:tcPr>
            <w:tcW w:w="1840" w:type="dxa"/>
            <w:tcBorders>
              <w:top w:val="nil"/>
              <w:left w:val="nil"/>
              <w:bottom w:val="single" w:color="auto" w:sz="4" w:space="0"/>
              <w:right w:val="single" w:color="auto" w:sz="4" w:space="0"/>
            </w:tcBorders>
            <w:shd w:val="clear" w:color="auto" w:fill="auto"/>
            <w:noWrap/>
            <w:vAlign w:val="center"/>
          </w:tcPr>
          <w:p w14:paraId="7C6EBBFD">
            <w:pPr>
              <w:widowControl/>
              <w:jc w:val="right"/>
              <w:rPr>
                <w:rFonts w:hint="eastAsia" w:ascii="宋体" w:hAnsi="宋体" w:eastAsia="宋体" w:cs="宋体"/>
                <w:b/>
                <w:bCs/>
                <w:color w:val="000000"/>
                <w:kern w:val="0"/>
                <w:sz w:val="22"/>
              </w:rPr>
            </w:pPr>
            <w:r>
              <w:rPr>
                <w:rFonts w:hint="eastAsia" w:ascii="宋体" w:hAnsi="宋体" w:eastAsia="宋体" w:cs="宋体"/>
                <w:b/>
                <w:bCs/>
                <w:color w:val="000000"/>
                <w:kern w:val="0"/>
                <w:sz w:val="22"/>
              </w:rPr>
              <w:t>93.48%</w:t>
            </w:r>
          </w:p>
        </w:tc>
      </w:tr>
    </w:tbl>
    <w:p w14:paraId="009A1E53">
      <w:pPr>
        <w:spacing w:line="360" w:lineRule="auto"/>
        <w:ind w:firstLine="809" w:firstLineChars="253"/>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4.产出成本</w:t>
      </w:r>
    </w:p>
    <w:p w14:paraId="338A07C2">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①基本经费</w:t>
      </w:r>
    </w:p>
    <w:p w14:paraId="51585A65">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2024年度基本经费支出4363.45万，比2023年4415.55万元减少了52.10万元。</w:t>
      </w:r>
    </w:p>
    <w:p w14:paraId="4590AD85">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②项目经费</w:t>
      </w:r>
    </w:p>
    <w:p w14:paraId="5A5D9AC9">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2024年度项目经费支出1879.12万元，比2023年度2560.10万元减少了680.98万元。</w:t>
      </w:r>
    </w:p>
    <w:p w14:paraId="7F062228">
      <w:pPr>
        <w:pStyle w:val="5"/>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(二)效果实现情况分析</w:t>
      </w:r>
      <w:bookmarkEnd w:id="7"/>
    </w:p>
    <w:p w14:paraId="11C36FB2">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1.经济效益</w:t>
      </w:r>
    </w:p>
    <w:p w14:paraId="46519079">
      <w:pPr>
        <w:pStyle w:val="15"/>
        <w:spacing w:line="560" w:lineRule="exact"/>
        <w:ind w:firstLine="640" w:firstLineChars="200"/>
        <w:rPr>
          <w:rFonts w:hint="eastAsia"/>
        </w:rPr>
      </w:pPr>
      <w:r>
        <w:rPr>
          <w:rFonts w:hint="eastAsia" w:ascii="方正仿宋_GB2312" w:hAnsi="方正仿宋_GB2312" w:eastAsia="方正仿宋_GB2312" w:cs="方正仿宋_GB2312"/>
          <w:sz w:val="32"/>
          <w:szCs w:val="32"/>
          <w:lang w:val="zh-TW"/>
        </w:rPr>
        <w:t>一是</w:t>
      </w:r>
      <w:r>
        <w:rPr>
          <w:rFonts w:hint="eastAsia" w:ascii="方正仿宋_GB2312" w:hAnsi="方正仿宋_GB2312" w:eastAsia="方正仿宋_GB2312" w:cs="方正仿宋_GB2312"/>
          <w:sz w:val="32"/>
          <w:szCs w:val="32"/>
        </w:rPr>
        <w:t>超额完成各项预期指标</w:t>
      </w:r>
      <w:r>
        <w:rPr>
          <w:rFonts w:hint="eastAsia" w:ascii="方正仿宋_GB2312" w:hAnsi="方正仿宋_GB2312" w:eastAsia="方正仿宋_GB2312" w:cs="方正仿宋_GB2312"/>
          <w:sz w:val="32"/>
          <w:szCs w:val="32"/>
          <w:lang w:val="zh-TW"/>
        </w:rPr>
        <w:t>。</w:t>
      </w:r>
      <w:r>
        <w:rPr>
          <w:rFonts w:hint="eastAsia" w:ascii="方正仿宋_GB2312" w:hAnsi="方正仿宋_GB2312" w:eastAsia="方正仿宋_GB2312" w:cs="方正仿宋_GB2312"/>
          <w:sz w:val="32"/>
          <w:szCs w:val="32"/>
        </w:rPr>
        <w:t>全年累计新增入库项目9945个，新增预计投入资金10225.5亿元，新增入库外资项目1375个，落地率52.9%，落地外资项目918个，分别完成目标任务的129.1%、105.4%、171.9%、105.8%和166.9%。招商引资储备项目库中落地项目分别贡献了同期全市固定资产投资总额的12.5%、全市实际利用外资的63.8%，为首都经济高质量发展引入新的动力源泉。二</w:t>
      </w:r>
      <w:r>
        <w:rPr>
          <w:rFonts w:hint="eastAsia" w:ascii="方正仿宋_GB2312" w:hAnsi="方正仿宋_GB2312" w:eastAsia="方正仿宋_GB2312" w:cs="方正仿宋_GB2312"/>
          <w:sz w:val="32"/>
          <w:szCs w:val="32"/>
          <w:lang w:val="zh-TW"/>
        </w:rPr>
        <w:t>是</w:t>
      </w:r>
      <w:r>
        <w:rPr>
          <w:rFonts w:hint="eastAsia" w:ascii="方正仿宋_GB2312" w:hAnsi="方正仿宋_GB2312" w:eastAsia="方正仿宋_GB2312" w:cs="方正仿宋_GB2312"/>
          <w:sz w:val="32"/>
          <w:szCs w:val="32"/>
        </w:rPr>
        <w:t>市区协同促进一批重大项目落地。</w:t>
      </w:r>
      <w:r>
        <w:rPr>
          <w:rFonts w:hint="eastAsia" w:ascii="方正仿宋_GB2312" w:hAnsi="方正仿宋_GB2312" w:eastAsia="方正仿宋_GB2312" w:cs="方正仿宋_GB2312"/>
          <w:sz w:val="32"/>
          <w:szCs w:val="32"/>
          <w:lang w:val="zh-CN"/>
        </w:rPr>
        <w:t>充分发挥</w:t>
      </w:r>
      <w:r>
        <w:rPr>
          <w:rFonts w:hint="eastAsia" w:ascii="方正仿宋_GB2312" w:hAnsi="方正仿宋_GB2312" w:eastAsia="方正仿宋_GB2312" w:cs="方正仿宋_GB2312"/>
          <w:sz w:val="32"/>
          <w:szCs w:val="32"/>
        </w:rPr>
        <w:t>重大项目协调调度机制作用，全年促成招商引资储备项目库中317个重大项目落地，其中累计落地10亿元以上内资项目261个，涉及资金11709.3亿元；累计落地</w:t>
      </w:r>
      <w:r>
        <w:rPr>
          <w:rFonts w:hint="eastAsia" w:ascii="方正仿宋_GB2312" w:hAnsi="方正仿宋_GB2312" w:eastAsia="方正仿宋_GB2312" w:cs="方正仿宋_GB2312"/>
          <w:sz w:val="32"/>
          <w:szCs w:val="32"/>
          <w:lang w:val="zh-TW"/>
        </w:rPr>
        <w:t>5000万美元以上外资项目</w:t>
      </w:r>
      <w:r>
        <w:rPr>
          <w:rFonts w:hint="eastAsia" w:ascii="方正仿宋_GB2312" w:hAnsi="方正仿宋_GB2312" w:eastAsia="方正仿宋_GB2312" w:cs="方正仿宋_GB2312"/>
          <w:sz w:val="32"/>
          <w:szCs w:val="32"/>
        </w:rPr>
        <w:t>56</w:t>
      </w:r>
      <w:r>
        <w:rPr>
          <w:rFonts w:hint="eastAsia" w:ascii="方正仿宋_GB2312" w:hAnsi="方正仿宋_GB2312" w:eastAsia="方正仿宋_GB2312" w:cs="方正仿宋_GB2312"/>
          <w:sz w:val="32"/>
          <w:szCs w:val="32"/>
          <w:lang w:val="zh-TW"/>
        </w:rPr>
        <w:t>个，涉及资金</w:t>
      </w:r>
      <w:r>
        <w:rPr>
          <w:rFonts w:hint="eastAsia" w:ascii="方正仿宋_GB2312" w:hAnsi="方正仿宋_GB2312" w:eastAsia="方正仿宋_GB2312" w:cs="方正仿宋_GB2312"/>
          <w:sz w:val="32"/>
          <w:szCs w:val="32"/>
        </w:rPr>
        <w:t>143.9</w:t>
      </w:r>
      <w:r>
        <w:rPr>
          <w:rFonts w:hint="eastAsia" w:ascii="方正仿宋_GB2312" w:hAnsi="方正仿宋_GB2312" w:eastAsia="方正仿宋_GB2312" w:cs="方正仿宋_GB2312"/>
          <w:sz w:val="32"/>
          <w:szCs w:val="32"/>
          <w:lang w:val="zh-TW"/>
        </w:rPr>
        <w:t>亿美元。三是</w:t>
      </w:r>
      <w:r>
        <w:rPr>
          <w:rFonts w:hint="eastAsia" w:ascii="方正仿宋_GB2312" w:hAnsi="方正仿宋_GB2312" w:eastAsia="方正仿宋_GB2312" w:cs="方正仿宋_GB2312"/>
          <w:sz w:val="32"/>
          <w:szCs w:val="32"/>
        </w:rPr>
        <w:t>多渠道挖掘项目线索成效显著。全年共挖掘转介项目线索444个，已落地101个。牵头制定并经市政府办公厅印发《北京市重要活动参与企业招商引资工作机制（试行）》，纳入机制的18场活动共获取项目线索269个，63个项目已落地。市领导国际高层会见共获取34个项目线索，13个已落地。市投资促进中心已将获取的有效项目线索全部向各区转介</w:t>
      </w:r>
      <w:r>
        <w:rPr>
          <w:rFonts w:hint="eastAsia" w:ascii="方正仿宋_GB2312" w:hAnsi="方正仿宋_GB2312" w:eastAsia="方正仿宋_GB2312" w:cs="方正仿宋_GB2312"/>
          <w:sz w:val="32"/>
          <w:szCs w:val="32"/>
          <w:lang w:val="zh-CN"/>
        </w:rPr>
        <w:t>。</w:t>
      </w:r>
    </w:p>
    <w:p w14:paraId="3FCE963E">
      <w:pPr>
        <w:numPr>
          <w:ilvl w:val="0"/>
          <w:numId w:val="1"/>
        </w:num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社会效益</w:t>
      </w:r>
    </w:p>
    <w:p w14:paraId="79230969">
      <w:pPr>
        <w:spacing w:line="560" w:lineRule="exact"/>
        <w:ind w:firstLine="640" w:firstLineChars="200"/>
        <w:rPr>
          <w:rFonts w:hint="eastAsia"/>
        </w:rPr>
      </w:pPr>
      <w:r>
        <w:rPr>
          <w:rFonts w:hint="eastAsia" w:ascii="方正仿宋_GB2312" w:hAnsi="方正仿宋_GB2312" w:eastAsia="方正仿宋_GB2312" w:cs="方正仿宋_GB2312"/>
          <w:sz w:val="32"/>
          <w:szCs w:val="32"/>
        </w:rPr>
        <w:t>一是持续开展服务包、12345企业服务热线工作，全年服务保障市领导走访企业122家，收集诉求2305条，办结1899条；受理12345企业来电25.46万件，解决率97.5%、满意率98.6%；受理疑难工单208件，均已办结。二是强化外资企业服务，建立与在京国际商协会和外资企业常态化联系机制，组织召开2次市政府与在京国际商协会座谈会、2次外资企业座谈会，协调相关单位逐条回应商协会、企业提出的诉求和建议，形成诉求解决闭环机制。三是做好政策宣传解读工作，协调相关部门向商会宣传解读服务业扩大开放2.0方案、外商投资条例、跨境数据流动等内容，组织“北京建设国际消费中心城市政策分享会”，积极引导企业扩大在京投资。</w:t>
      </w:r>
    </w:p>
    <w:p w14:paraId="2FECC2DD">
      <w:pPr>
        <w:numPr>
          <w:ilvl w:val="0"/>
          <w:numId w:val="1"/>
        </w:numPr>
        <w:spacing w:line="360" w:lineRule="auto"/>
        <w:ind w:left="0" w:leftChars="0"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环境效益</w:t>
      </w:r>
    </w:p>
    <w:p w14:paraId="6A976470">
      <w:pPr>
        <w:widowControl/>
        <w:spacing w:line="560" w:lineRule="exact"/>
        <w:ind w:firstLine="640" w:firstLineChars="200"/>
        <w:rPr>
          <w:rFonts w:hint="eastAsia"/>
        </w:rPr>
      </w:pPr>
      <w:r>
        <w:rPr>
          <w:rFonts w:hint="eastAsia" w:ascii="方正仿宋_GB2312" w:hAnsi="方正仿宋_GB2312" w:eastAsia="方正仿宋_GB2312" w:cs="方正仿宋_GB2312"/>
          <w:sz w:val="32"/>
          <w:szCs w:val="32"/>
        </w:rPr>
        <w:t>制定全市招商引资推介活动安排计划，共举办招商推介活动200场，其中市级层面38场。一是发挥主场优势办好重要活动。市投资促进中心举办了中关村论坛“投资北京大会”、服贸会“北京日”暨京津冀协同招商推介大会、第27届京港洽谈会暨投资香港推介大会等三场高层级招商推介活动，共签约55个项目，签约金额1220亿元，发布招商引资项目602个。二是赴境外开展招商推介活动，</w:t>
      </w:r>
      <w:r>
        <w:rPr>
          <w:rFonts w:hint="eastAsia" w:ascii="方正仿宋_GB2312" w:hAnsi="方正仿宋_GB2312" w:eastAsia="方正仿宋_GB2312" w:cs="方正仿宋_GB2312"/>
          <w:sz w:val="32"/>
          <w:szCs w:val="32"/>
          <w:lang w:val="zh-CN"/>
        </w:rPr>
        <w:t>完成德国、英法等</w:t>
      </w:r>
      <w:r>
        <w:rPr>
          <w:rFonts w:hint="eastAsia" w:ascii="方正仿宋_GB2312" w:hAnsi="方正仿宋_GB2312" w:eastAsia="方正仿宋_GB2312" w:cs="方正仿宋_GB2312"/>
          <w:sz w:val="32"/>
          <w:szCs w:val="32"/>
        </w:rPr>
        <w:t>6个招商团组任务，获取项目线索15个；赴重点区域开展靶向招商活动，获取项目线索19个。三是积极参加广交会、投洽会、东博会和消博会等京外重要活动，借助活动平台加强招商推介。四是各部门、各区举办了各具特色的招商推介活动，如市外办“北京之夜”活动、市金融监管局投资北京全球金融服务网络体系启动会和顺义区HICOOL全球创业者峰会、经开区世界机器人大会等，挖掘了一批优质项目。</w:t>
      </w:r>
    </w:p>
    <w:p w14:paraId="3B23C623">
      <w:pPr>
        <w:numPr>
          <w:ilvl w:val="0"/>
          <w:numId w:val="0"/>
        </w:numPr>
        <w:spacing w:line="360" w:lineRule="auto"/>
        <w:ind w:leftChars="200" w:firstLine="320" w:firstLineChars="1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2"/>
        </w:rPr>
        <w:t>可持续性影响</w:t>
      </w:r>
    </w:p>
    <w:p w14:paraId="1E82AA3C">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投资促进中心设立7个境内外招商引资服务站，市区累计建立境内外招商站点达88个，其中境外站点36个。新遴选欧洲商务咨询中心等5家机构为投资北京全球合作伙伴，总数达25家。正式加入世界投资促进机构协会，赴沙特</w:t>
      </w:r>
      <w:r>
        <w:rPr>
          <w:rFonts w:hint="eastAsia" w:ascii="方正仿宋_GB2312" w:hAnsi="方正仿宋_GB2312" w:eastAsia="方正仿宋_GB2312" w:cs="方正仿宋_GB2312"/>
          <w:sz w:val="32"/>
          <w:szCs w:val="32"/>
          <w:lang w:eastAsia="zh-CN"/>
        </w:rPr>
        <w:t>利雅得</w:t>
      </w:r>
      <w:r>
        <w:rPr>
          <w:rFonts w:hint="eastAsia" w:ascii="方正仿宋_GB2312" w:hAnsi="方正仿宋_GB2312" w:eastAsia="方正仿宋_GB2312" w:cs="方正仿宋_GB2312"/>
          <w:sz w:val="32"/>
          <w:szCs w:val="32"/>
        </w:rPr>
        <w:t>参加第28届世界投资大会，加强与国际投资促进机构交流合作。</w:t>
      </w:r>
    </w:p>
    <w:p w14:paraId="5025562A">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聚焦重大招商活动，加强投资北京宣传推广。制作2024年招商引资双语宣传片、《北京市未来产业宣传片》等宣传物料，多形式宣传北京营商环境。全面提升“两微一网”、抖音等新媒体信息登载工作，推进中心英文官网改版提升，讲好“投资北京”故事。</w:t>
      </w:r>
    </w:p>
    <w:p w14:paraId="4367639F">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2024年，市投资促进中心坚持党对投资促进工作的全面领导，以高度的政治自觉接受巡视、抓好整改，扎实开展党纪学习教育。牵头举办首个市级层面招商引资能力提升专题研讨班，进一步增强了全市投促干部队伍的归属感、凝聚力和战斗力。</w:t>
      </w:r>
    </w:p>
    <w:p w14:paraId="389E7C8D">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2"/>
        </w:rPr>
        <w:t>服务对象满意度</w:t>
      </w:r>
    </w:p>
    <w:p w14:paraId="7209E58E">
      <w:pPr>
        <w:spacing w:line="360" w:lineRule="auto"/>
        <w:ind w:firstLine="809" w:firstLineChars="253"/>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服务精准高效，诉求响应迅速，</w:t>
      </w:r>
      <w:r>
        <w:rPr>
          <w:rFonts w:hint="eastAsia" w:ascii="方正仿宋_GB2312" w:hAnsi="方正仿宋_GB2312" w:eastAsia="方正仿宋_GB2312" w:cs="方正仿宋_GB2312"/>
          <w:sz w:val="32"/>
          <w:szCs w:val="32"/>
          <w:lang w:val="en-US" w:eastAsia="zh-CN"/>
        </w:rPr>
        <w:t>12345企业服务热线、</w:t>
      </w:r>
      <w:r>
        <w:rPr>
          <w:rFonts w:hint="eastAsia" w:ascii="方正仿宋_GB2312" w:hAnsi="方正仿宋_GB2312" w:eastAsia="方正仿宋_GB2312" w:cs="方正仿宋_GB2312"/>
          <w:sz w:val="32"/>
          <w:szCs w:val="32"/>
        </w:rPr>
        <w:t>"服务管家"机制全程护航，政企协作排忧解难，助力企业扎根北京</w:t>
      </w:r>
      <w:r>
        <w:rPr>
          <w:rFonts w:hint="eastAsia" w:ascii="方正仿宋_GB2312" w:hAnsi="方正仿宋_GB2312" w:eastAsia="方正仿宋_GB2312" w:cs="方正仿宋_GB2312"/>
          <w:sz w:val="32"/>
          <w:szCs w:val="32"/>
          <w:lang w:val="en-US" w:eastAsia="zh-CN"/>
        </w:rPr>
        <w:t>投资</w:t>
      </w:r>
      <w:r>
        <w:rPr>
          <w:rFonts w:hint="eastAsia" w:ascii="方正仿宋_GB2312" w:hAnsi="方正仿宋_GB2312" w:eastAsia="方正仿宋_GB2312" w:cs="方正仿宋_GB2312"/>
          <w:sz w:val="32"/>
          <w:szCs w:val="32"/>
        </w:rPr>
        <w:t>长远发展。</w:t>
      </w:r>
    </w:p>
    <w:p w14:paraId="42A34E60">
      <w:pPr>
        <w:pStyle w:val="4"/>
        <w:ind w:firstLine="562"/>
        <w:rPr>
          <w:rFonts w:hint="eastAsia" w:ascii="黑体" w:hAnsi="黑体" w:eastAsia="黑体" w:cs="黑体"/>
          <w:b/>
          <w:bCs/>
          <w:sz w:val="32"/>
          <w:szCs w:val="32"/>
          <w:lang w:val="en-US" w:eastAsia="zh-CN"/>
        </w:rPr>
      </w:pPr>
      <w:bookmarkStart w:id="8" w:name="_Toc28325"/>
      <w:r>
        <w:rPr>
          <w:rFonts w:hint="eastAsia" w:ascii="黑体" w:hAnsi="黑体" w:eastAsia="黑体" w:cs="黑体"/>
          <w:b/>
          <w:bCs/>
          <w:sz w:val="32"/>
          <w:szCs w:val="32"/>
          <w:lang w:val="en-US" w:eastAsia="zh-CN"/>
        </w:rPr>
        <w:t>四、预算管理情况</w:t>
      </w:r>
      <w:bookmarkEnd w:id="8"/>
    </w:p>
    <w:p w14:paraId="0F850381">
      <w:pPr>
        <w:widowControl w:val="0"/>
        <w:spacing w:line="360" w:lineRule="auto"/>
        <w:ind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(一)财务管理</w:t>
      </w:r>
    </w:p>
    <w:p w14:paraId="6821FF05">
      <w:pPr>
        <w:widowControl w:val="0"/>
        <w:spacing w:line="360" w:lineRule="auto"/>
        <w:ind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1.财务管理制度健全性</w:t>
      </w:r>
    </w:p>
    <w:p w14:paraId="3B78C066">
      <w:pPr>
        <w:spacing w:line="360" w:lineRule="auto"/>
        <w:ind w:firstLine="640" w:firstLineChars="200"/>
        <w:rPr>
          <w:rFonts w:hint="eastAsia"/>
          <w:lang w:val="en-US" w:eastAsia="zh-CN"/>
        </w:rPr>
      </w:pPr>
      <w:r>
        <w:rPr>
          <w:rFonts w:hint="eastAsia" w:ascii="方正仿宋_GB2312" w:hAnsi="方正仿宋_GB2312" w:eastAsia="方正仿宋_GB2312" w:cs="方正仿宋_GB2312"/>
          <w:sz w:val="32"/>
          <w:szCs w:val="32"/>
        </w:rPr>
        <w:t>除固定资产管理制度需修订外，预算管理办法、预算绩效管理办法、资金支出管理办法等各项制度较健全；部门综合财务管理制度完整、合规；会计核算制度完整、合规。</w:t>
      </w:r>
    </w:p>
    <w:p w14:paraId="7FA0C0C7">
      <w:pPr>
        <w:widowControl w:val="0"/>
        <w:numPr>
          <w:ilvl w:val="0"/>
          <w:numId w:val="2"/>
        </w:numPr>
        <w:spacing w:line="360" w:lineRule="auto"/>
        <w:ind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资金使用合规性和安全性</w:t>
      </w:r>
    </w:p>
    <w:p w14:paraId="1176C348">
      <w:pPr>
        <w:spacing w:line="360" w:lineRule="auto"/>
        <w:ind w:firstLine="640" w:firstLineChars="200"/>
        <w:rPr>
          <w:rFonts w:hint="eastAsia"/>
          <w:lang w:val="en-US" w:eastAsia="zh-CN"/>
        </w:rPr>
      </w:pPr>
      <w:r>
        <w:rPr>
          <w:rFonts w:hint="eastAsia" w:ascii="方正仿宋_GB2312" w:hAnsi="方正仿宋_GB2312" w:eastAsia="方正仿宋_GB2312" w:cs="方正仿宋_GB2312"/>
          <w:sz w:val="32"/>
          <w:szCs w:val="32"/>
        </w:rPr>
        <w:t>资金使用符合国家财经法规和本中心财务管理制度规定以及有关专项资金管理办法的规定；资金的拨付做到有完整的审批程序和手续；项目的重大开支经过上会决策；资金使用符合政府采购的程序和流程；能够按照公务卡结算相关制度和规定执行。</w:t>
      </w:r>
    </w:p>
    <w:p w14:paraId="3DA28B5F">
      <w:pPr>
        <w:widowControl w:val="0"/>
        <w:numPr>
          <w:ilvl w:val="0"/>
          <w:numId w:val="2"/>
        </w:numPr>
        <w:spacing w:line="360" w:lineRule="auto"/>
        <w:ind w:left="0" w:leftChars="0"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会计基础信息完善性</w:t>
      </w:r>
    </w:p>
    <w:p w14:paraId="38B9B3A3">
      <w:pPr>
        <w:spacing w:line="360" w:lineRule="auto"/>
        <w:ind w:firstLine="640" w:firstLineChars="200"/>
        <w:rPr>
          <w:rFonts w:hint="eastAsia"/>
          <w:lang w:val="en-US" w:eastAsia="zh-CN"/>
        </w:rPr>
      </w:pPr>
      <w:r>
        <w:rPr>
          <w:rFonts w:hint="eastAsia" w:ascii="方正仿宋_GB2312" w:hAnsi="方正仿宋_GB2312" w:eastAsia="方正仿宋_GB2312" w:cs="方正仿宋_GB2312"/>
          <w:sz w:val="32"/>
          <w:szCs w:val="32"/>
        </w:rPr>
        <w:t>市投资促进中心在项目实施过程中，按规定设专账核算，各项开支严格按照审批程序执行，符合北京市财政局及市投资促进中心财务制度要求，按标准支出，无虚列支出、无截留、挤占、挪用资金情况，能够严格按照专款专用的原则实行项目管理，财务核算资料完整、真实、准确。</w:t>
      </w:r>
    </w:p>
    <w:p w14:paraId="1355B448">
      <w:pPr>
        <w:widowControl w:val="0"/>
        <w:numPr>
          <w:ilvl w:val="0"/>
          <w:numId w:val="3"/>
        </w:numPr>
        <w:spacing w:line="360" w:lineRule="auto"/>
        <w:ind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资产管理</w:t>
      </w:r>
    </w:p>
    <w:p w14:paraId="5DD373E0">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根据《行政单位国有资产管理暂行办法》《事业单位国有资产管理暂行办法》和《行政事业单位固定资产管理暂行办法》及财政部相关规定，结合单位实际情况，市投资促进中心制定了《北京市投资促进服务中心固定资产管理办法》《北京市投资促进服务中心无形资产管理办法（试行）》和《北京市投资促进服务中心货币资金管理办法》，明确了资产管理部门及职责、资产配置、资产管理、资产处置、资产出租出借等相关要求，规范和加强了中心各部门的资产管理工作，维护了国有资产的安全完整、合理配置和有效利用。</w:t>
      </w:r>
    </w:p>
    <w:p w14:paraId="2B22823F">
      <w:pPr>
        <w:widowControl w:val="0"/>
        <w:numPr>
          <w:ilvl w:val="0"/>
          <w:numId w:val="3"/>
        </w:numPr>
        <w:spacing w:line="360" w:lineRule="auto"/>
        <w:ind w:left="0" w:leftChars="0"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绩效管理</w:t>
      </w:r>
    </w:p>
    <w:p w14:paraId="20247334">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（1）各部门职责</w:t>
      </w:r>
    </w:p>
    <w:p w14:paraId="31645B79">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投资促进中心财务处是绩效管理的牵头部门，审核各预算部门提交的绩效目标，配合财政部门开展事前绩效评估工作；组织预算执行绩效跟踪，并按规定及时将执行中存在的问题和整改措施报财政部门，并组织开展绩效自评工作。</w:t>
      </w:r>
    </w:p>
    <w:p w14:paraId="7215F2AB">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相关部门根据年度工作计划和部门职责，编制年度预算。同时制定清晰、量化的绩效目标，加强项目论证和审核；执行过程中严格按预期的绩效目标组织项目实施；提供绩效评价所需要的相关资料及撰写项目自评报告；根据评价结果查找资金使用和管理中的薄弱环节，制定整改措施，改善绩效管理工作。</w:t>
      </w:r>
    </w:p>
    <w:p w14:paraId="4F0B6F6C">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市投资促中心所有项目在预算编制过程中均填报绩效目标申报表，明确项目总目标，以便进行绩效跟踪、绩效管理，在年度终结后均填报绩效自评表，进行绩效评价，形成闭环管理，指导预算工作，真正提高资金使用效率和效益。</w:t>
      </w:r>
    </w:p>
    <w:p w14:paraId="04BE7242">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（2）项目支出绩效自评</w:t>
      </w:r>
    </w:p>
    <w:p w14:paraId="276F4313">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市投资促进中心按要求填报项目绩效目标及成本指标并已开展事前绩效评估项目3个，涉及资金187.36万元；开展绩效评价项目26个，涉及资金2889.367336万元；开展成本绩效分析1个，涉及资金146.32万元；并将绩效管理和成本管控结果应用于预算管理。</w:t>
      </w:r>
    </w:p>
    <w:p w14:paraId="69738FF5">
      <w:pPr>
        <w:widowControl w:val="0"/>
        <w:numPr>
          <w:ilvl w:val="0"/>
          <w:numId w:val="3"/>
        </w:numPr>
        <w:spacing w:line="360" w:lineRule="auto"/>
        <w:ind w:left="0" w:leftChars="0"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结转结余率</w:t>
      </w:r>
    </w:p>
    <w:p w14:paraId="0D42C0A7">
      <w:pPr>
        <w:spacing w:line="360" w:lineRule="auto"/>
        <w:ind w:firstLine="640" w:firstLineChars="200"/>
        <w:rPr>
          <w:rFonts w:hint="eastAsia"/>
          <w:lang w:val="en-US" w:eastAsia="zh-CN"/>
        </w:rPr>
      </w:pPr>
      <w:r>
        <w:rPr>
          <w:rFonts w:hint="eastAsia" w:ascii="方正仿宋_GB2312" w:hAnsi="方正仿宋_GB2312" w:eastAsia="方正仿宋_GB2312" w:cs="方正仿宋_GB2312"/>
          <w:sz w:val="32"/>
          <w:szCs w:val="32"/>
        </w:rPr>
        <w:t>2024年全年预算支出6998.56万元，决算支出6269.72万元，全年结转728.84万元，结转结余率10.4%；2023年结转结余率11.9%。2024年结转结余率低于上年。</w:t>
      </w:r>
    </w:p>
    <w:p w14:paraId="1C2D105E">
      <w:pPr>
        <w:widowControl w:val="0"/>
        <w:numPr>
          <w:ilvl w:val="0"/>
          <w:numId w:val="3"/>
        </w:numPr>
        <w:spacing w:line="360" w:lineRule="auto"/>
        <w:ind w:left="0" w:leftChars="0" w:firstLine="640" w:firstLineChars="200"/>
        <w:jc w:val="both"/>
        <w:rPr>
          <w:rFonts w:hint="eastAsia" w:ascii="方正仿宋_GB2312" w:hAnsi="方正仿宋_GB2312" w:eastAsia="方正仿宋_GB2312" w:cs="方正仿宋_GB2312"/>
          <w:kern w:val="2"/>
          <w:sz w:val="32"/>
          <w:szCs w:val="32"/>
          <w:lang w:val="en-US" w:eastAsia="zh-CN" w:bidi="ar-SA"/>
        </w:rPr>
      </w:pPr>
      <w:r>
        <w:rPr>
          <w:rFonts w:hint="eastAsia" w:ascii="方正仿宋_GB2312" w:hAnsi="方正仿宋_GB2312" w:eastAsia="方正仿宋_GB2312" w:cs="方正仿宋_GB2312"/>
          <w:kern w:val="2"/>
          <w:sz w:val="32"/>
          <w:szCs w:val="32"/>
          <w:lang w:val="en-US" w:eastAsia="zh-CN" w:bidi="ar-SA"/>
        </w:rPr>
        <w:t>部门预决算差异率</w:t>
      </w:r>
    </w:p>
    <w:p w14:paraId="173FB541">
      <w:pPr>
        <w:spacing w:line="360" w:lineRule="auto"/>
        <w:ind w:firstLine="640" w:firstLineChars="200"/>
        <w:rPr>
          <w:rFonts w:hint="eastAsia"/>
          <w:lang w:val="en-US" w:eastAsia="zh-CN"/>
        </w:rPr>
      </w:pPr>
      <w:r>
        <w:rPr>
          <w:rFonts w:hint="eastAsia" w:ascii="方正仿宋_GB2312" w:hAnsi="方正仿宋_GB2312" w:eastAsia="方正仿宋_GB2312" w:cs="方正仿宋_GB2312"/>
          <w:sz w:val="32"/>
          <w:szCs w:val="32"/>
        </w:rPr>
        <w:t>2024年初预算数7403.65万元，支出决算数6269.72万元，全年预决算差异率15.3%。</w:t>
      </w:r>
    </w:p>
    <w:p w14:paraId="1716A3D3">
      <w:pPr>
        <w:pStyle w:val="4"/>
        <w:ind w:firstLine="562"/>
        <w:rPr>
          <w:rFonts w:hint="eastAsia" w:ascii="黑体" w:hAnsi="黑体" w:eastAsia="黑体" w:cs="黑体"/>
          <w:b/>
          <w:bCs/>
          <w:sz w:val="32"/>
          <w:szCs w:val="32"/>
          <w:lang w:eastAsia="zh-CN"/>
        </w:rPr>
      </w:pPr>
      <w:bookmarkStart w:id="9" w:name="_Toc12625"/>
      <w:r>
        <w:rPr>
          <w:rFonts w:hint="eastAsia" w:ascii="黑体" w:hAnsi="黑体" w:eastAsia="黑体" w:cs="黑体"/>
          <w:b/>
          <w:bCs/>
          <w:sz w:val="32"/>
          <w:szCs w:val="32"/>
        </w:rPr>
        <w:t>五、</w:t>
      </w:r>
      <w:r>
        <w:rPr>
          <w:rFonts w:hint="eastAsia" w:ascii="黑体" w:hAnsi="黑体" w:eastAsia="黑体" w:cs="黑体"/>
          <w:b/>
          <w:bCs/>
          <w:sz w:val="32"/>
          <w:szCs w:val="32"/>
          <w:lang w:val="en-US" w:eastAsia="zh-CN"/>
        </w:rPr>
        <w:t>总体评价结论</w:t>
      </w:r>
      <w:bookmarkEnd w:id="9"/>
    </w:p>
    <w:p w14:paraId="5A978934">
      <w:pPr>
        <w:pStyle w:val="5"/>
        <w:rPr>
          <w:rFonts w:hint="eastAsia" w:ascii="楷体_GB2312" w:hAnsi="楷体_GB2312" w:eastAsia="楷体_GB2312" w:cs="楷体_GB2312"/>
          <w:b/>
          <w:bCs/>
          <w:kern w:val="2"/>
          <w:sz w:val="32"/>
          <w:szCs w:val="32"/>
          <w:lang w:val="en-US" w:eastAsia="zh-CN" w:bidi="ar-SA"/>
        </w:rPr>
      </w:pPr>
      <w:bookmarkStart w:id="10" w:name="_Toc4207"/>
      <w:r>
        <w:rPr>
          <w:rFonts w:hint="eastAsia" w:ascii="楷体_GB2312" w:hAnsi="楷体_GB2312" w:eastAsia="楷体_GB2312" w:cs="楷体_GB2312"/>
          <w:b/>
          <w:bCs/>
          <w:kern w:val="2"/>
          <w:sz w:val="32"/>
          <w:szCs w:val="32"/>
          <w:lang w:val="en-US" w:eastAsia="zh-CN" w:bidi="ar-SA"/>
        </w:rPr>
        <w:t>（一）评价得分情况</w:t>
      </w:r>
      <w:bookmarkEnd w:id="10"/>
    </w:p>
    <w:p w14:paraId="773FD338">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2024年，市投资促进中心在市委、市政府坚强领导下，围绕落实首都城市战略定位，坚持“五子联动”服务和融入新发展格局，履职尽责、担当作为，推动全市投资促进工作取得积极成效。通过评价，市投资促进中心2024年整体支出绩效评价综合得分92.22分，绩效评定等级为“优”，各一级指标得分情况如下表所示：</w:t>
      </w:r>
    </w:p>
    <w:p w14:paraId="6696FDC2">
      <w:pPr>
        <w:shd w:val="clear" w:color="000000" w:fill="auto"/>
        <w:adjustRightInd w:val="0"/>
        <w:snapToGrid w:val="0"/>
        <w:spacing w:before="156" w:beforeLines="50" w:line="560" w:lineRule="exact"/>
        <w:jc w:val="center"/>
        <w:rPr>
          <w:rFonts w:ascii="Times New Roman" w:hAnsi="Times New Roman" w:eastAsia="黑体" w:cs="Times New Roman"/>
          <w:sz w:val="28"/>
          <w:szCs w:val="28"/>
        </w:rPr>
      </w:pPr>
      <w:r>
        <w:rPr>
          <w:rFonts w:hint="eastAsia" w:ascii="方正仿宋_GB2312" w:hAnsi="方正仿宋_GB2312" w:eastAsia="方正仿宋_GB2312" w:cs="方正仿宋_GB2312"/>
          <w:sz w:val="32"/>
          <w:szCs w:val="32"/>
        </w:rPr>
        <w:t>2024年部门整体绩效得分情况表</w:t>
      </w:r>
    </w:p>
    <w:tbl>
      <w:tblPr>
        <w:tblStyle w:val="25"/>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5"/>
        <w:gridCol w:w="1963"/>
        <w:gridCol w:w="1963"/>
        <w:gridCol w:w="1894"/>
      </w:tblGrid>
      <w:tr w14:paraId="25F81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3015" w:type="dxa"/>
            <w:vAlign w:val="center"/>
          </w:tcPr>
          <w:p w14:paraId="4991E367">
            <w:pPr>
              <w:widowControl/>
              <w:shd w:val="clear" w:color="010000" w:fill="auto"/>
              <w:spacing w:line="560" w:lineRule="exact"/>
              <w:jc w:val="center"/>
              <w:rPr>
                <w:rFonts w:hint="eastAsia" w:ascii="方正仿宋_GB2312" w:hAnsi="方正仿宋_GB2312" w:eastAsia="方正仿宋_GB2312" w:cs="方正仿宋_GB2312"/>
                <w:b/>
                <w:bCs/>
                <w:color w:val="333333"/>
                <w:kern w:val="0"/>
                <w:sz w:val="32"/>
                <w:szCs w:val="32"/>
              </w:rPr>
            </w:pPr>
            <w:r>
              <w:rPr>
                <w:rFonts w:hint="eastAsia" w:ascii="方正仿宋_GB2312" w:hAnsi="方正仿宋_GB2312" w:eastAsia="方正仿宋_GB2312" w:cs="方正仿宋_GB2312"/>
                <w:b/>
                <w:bCs/>
                <w:color w:val="333333"/>
                <w:kern w:val="0"/>
                <w:sz w:val="32"/>
                <w:szCs w:val="32"/>
              </w:rPr>
              <w:t>一级指标</w:t>
            </w:r>
          </w:p>
        </w:tc>
        <w:tc>
          <w:tcPr>
            <w:tcW w:w="1963" w:type="dxa"/>
            <w:vAlign w:val="center"/>
          </w:tcPr>
          <w:p w14:paraId="7CCDBDC8">
            <w:pPr>
              <w:widowControl/>
              <w:shd w:val="clear" w:color="010000" w:fill="auto"/>
              <w:spacing w:line="560" w:lineRule="exact"/>
              <w:jc w:val="center"/>
              <w:rPr>
                <w:rFonts w:hint="eastAsia" w:ascii="方正仿宋_GB2312" w:hAnsi="方正仿宋_GB2312" w:eastAsia="方正仿宋_GB2312" w:cs="方正仿宋_GB2312"/>
                <w:b/>
                <w:bCs/>
                <w:color w:val="333333"/>
                <w:kern w:val="0"/>
                <w:sz w:val="32"/>
                <w:szCs w:val="32"/>
              </w:rPr>
            </w:pPr>
            <w:r>
              <w:rPr>
                <w:rFonts w:hint="eastAsia" w:ascii="方正仿宋_GB2312" w:hAnsi="方正仿宋_GB2312" w:eastAsia="方正仿宋_GB2312" w:cs="方正仿宋_GB2312"/>
                <w:b/>
                <w:bCs/>
                <w:color w:val="333333"/>
                <w:kern w:val="0"/>
                <w:sz w:val="32"/>
                <w:szCs w:val="32"/>
              </w:rPr>
              <w:t>分值</w:t>
            </w:r>
          </w:p>
        </w:tc>
        <w:tc>
          <w:tcPr>
            <w:tcW w:w="1963" w:type="dxa"/>
            <w:vAlign w:val="center"/>
          </w:tcPr>
          <w:p w14:paraId="7BF699EA">
            <w:pPr>
              <w:widowControl/>
              <w:shd w:val="clear" w:color="010000" w:fill="auto"/>
              <w:spacing w:line="560" w:lineRule="exact"/>
              <w:jc w:val="center"/>
              <w:rPr>
                <w:rFonts w:hint="eastAsia" w:ascii="方正仿宋_GB2312" w:hAnsi="方正仿宋_GB2312" w:eastAsia="方正仿宋_GB2312" w:cs="方正仿宋_GB2312"/>
                <w:b/>
                <w:bCs/>
                <w:color w:val="333333"/>
                <w:kern w:val="0"/>
                <w:sz w:val="32"/>
                <w:szCs w:val="32"/>
              </w:rPr>
            </w:pPr>
            <w:r>
              <w:rPr>
                <w:rFonts w:hint="eastAsia" w:ascii="方正仿宋_GB2312" w:hAnsi="方正仿宋_GB2312" w:eastAsia="方正仿宋_GB2312" w:cs="方正仿宋_GB2312"/>
                <w:b/>
                <w:bCs/>
                <w:color w:val="333333"/>
                <w:kern w:val="0"/>
                <w:sz w:val="32"/>
                <w:szCs w:val="32"/>
              </w:rPr>
              <w:t>得分</w:t>
            </w:r>
          </w:p>
        </w:tc>
        <w:tc>
          <w:tcPr>
            <w:tcW w:w="1894" w:type="dxa"/>
            <w:vAlign w:val="center"/>
          </w:tcPr>
          <w:p w14:paraId="3E7B9461">
            <w:pPr>
              <w:widowControl/>
              <w:shd w:val="clear" w:color="010000" w:fill="auto"/>
              <w:spacing w:line="560" w:lineRule="exact"/>
              <w:jc w:val="center"/>
              <w:rPr>
                <w:rFonts w:hint="eastAsia" w:ascii="方正仿宋_GB2312" w:hAnsi="方正仿宋_GB2312" w:eastAsia="方正仿宋_GB2312" w:cs="方正仿宋_GB2312"/>
                <w:b/>
                <w:bCs/>
                <w:color w:val="333333"/>
                <w:kern w:val="0"/>
                <w:sz w:val="32"/>
                <w:szCs w:val="32"/>
              </w:rPr>
            </w:pPr>
            <w:r>
              <w:rPr>
                <w:rFonts w:hint="eastAsia" w:ascii="方正仿宋_GB2312" w:hAnsi="方正仿宋_GB2312" w:eastAsia="方正仿宋_GB2312" w:cs="方正仿宋_GB2312"/>
                <w:b/>
                <w:bCs/>
                <w:color w:val="333333"/>
                <w:kern w:val="0"/>
                <w:sz w:val="32"/>
                <w:szCs w:val="32"/>
              </w:rPr>
              <w:t>得分率</w:t>
            </w:r>
          </w:p>
        </w:tc>
      </w:tr>
      <w:tr w14:paraId="7A1BC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14:paraId="3976592A">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当年预算执行情况</w:t>
            </w:r>
          </w:p>
        </w:tc>
        <w:tc>
          <w:tcPr>
            <w:tcW w:w="1963" w:type="dxa"/>
            <w:vAlign w:val="center"/>
          </w:tcPr>
          <w:p w14:paraId="0C47844A">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20</w:t>
            </w:r>
          </w:p>
        </w:tc>
        <w:tc>
          <w:tcPr>
            <w:tcW w:w="1963" w:type="dxa"/>
            <w:vAlign w:val="center"/>
          </w:tcPr>
          <w:p w14:paraId="2EAAD12B">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17.92</w:t>
            </w:r>
          </w:p>
        </w:tc>
        <w:tc>
          <w:tcPr>
            <w:tcW w:w="1894" w:type="dxa"/>
            <w:vAlign w:val="center"/>
          </w:tcPr>
          <w:p w14:paraId="6A2720A1">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89.6%</w:t>
            </w:r>
          </w:p>
        </w:tc>
      </w:tr>
      <w:tr w14:paraId="645B0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14:paraId="15E1764B">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整体绩效目标实现情况</w:t>
            </w:r>
          </w:p>
        </w:tc>
        <w:tc>
          <w:tcPr>
            <w:tcW w:w="1963" w:type="dxa"/>
            <w:vAlign w:val="center"/>
          </w:tcPr>
          <w:p w14:paraId="0583E581">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60</w:t>
            </w:r>
          </w:p>
        </w:tc>
        <w:tc>
          <w:tcPr>
            <w:tcW w:w="1963" w:type="dxa"/>
            <w:vAlign w:val="center"/>
          </w:tcPr>
          <w:p w14:paraId="30083991">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54.50</w:t>
            </w:r>
          </w:p>
        </w:tc>
        <w:tc>
          <w:tcPr>
            <w:tcW w:w="1894" w:type="dxa"/>
            <w:vAlign w:val="center"/>
          </w:tcPr>
          <w:p w14:paraId="46952FE4">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90.8%</w:t>
            </w:r>
          </w:p>
        </w:tc>
      </w:tr>
      <w:tr w14:paraId="4FFDC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14:paraId="13BC42E9">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预算管理情况</w:t>
            </w:r>
          </w:p>
        </w:tc>
        <w:tc>
          <w:tcPr>
            <w:tcW w:w="1963" w:type="dxa"/>
            <w:vAlign w:val="center"/>
          </w:tcPr>
          <w:p w14:paraId="385FA5D5">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20</w:t>
            </w:r>
          </w:p>
        </w:tc>
        <w:tc>
          <w:tcPr>
            <w:tcW w:w="1963" w:type="dxa"/>
            <w:vAlign w:val="center"/>
          </w:tcPr>
          <w:p w14:paraId="4869B744">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19.80</w:t>
            </w:r>
          </w:p>
        </w:tc>
        <w:tc>
          <w:tcPr>
            <w:tcW w:w="1894" w:type="dxa"/>
            <w:vAlign w:val="center"/>
          </w:tcPr>
          <w:p w14:paraId="1AA89235">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99%</w:t>
            </w:r>
          </w:p>
        </w:tc>
      </w:tr>
      <w:tr w14:paraId="18B2D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015" w:type="dxa"/>
            <w:vAlign w:val="center"/>
          </w:tcPr>
          <w:p w14:paraId="54EDED88">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合计</w:t>
            </w:r>
          </w:p>
        </w:tc>
        <w:tc>
          <w:tcPr>
            <w:tcW w:w="1963" w:type="dxa"/>
            <w:vAlign w:val="center"/>
          </w:tcPr>
          <w:p w14:paraId="46BE6195">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100</w:t>
            </w:r>
          </w:p>
        </w:tc>
        <w:tc>
          <w:tcPr>
            <w:tcW w:w="1963" w:type="dxa"/>
            <w:vAlign w:val="center"/>
          </w:tcPr>
          <w:p w14:paraId="10B26F8B">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fldChar w:fldCharType="begin"/>
            </w:r>
            <w:r>
              <w:rPr>
                <w:rFonts w:hint="eastAsia" w:ascii="方正仿宋_GB2312" w:hAnsi="方正仿宋_GB2312" w:eastAsia="方正仿宋_GB2312" w:cs="方正仿宋_GB2312"/>
                <w:color w:val="333333"/>
                <w:kern w:val="0"/>
                <w:sz w:val="32"/>
                <w:szCs w:val="32"/>
              </w:rPr>
              <w:instrText xml:space="preserve"> =SUM(ABOVE) </w:instrText>
            </w:r>
            <w:r>
              <w:rPr>
                <w:rFonts w:hint="eastAsia" w:ascii="方正仿宋_GB2312" w:hAnsi="方正仿宋_GB2312" w:eastAsia="方正仿宋_GB2312" w:cs="方正仿宋_GB2312"/>
                <w:color w:val="333333"/>
                <w:kern w:val="0"/>
                <w:sz w:val="32"/>
                <w:szCs w:val="32"/>
              </w:rPr>
              <w:fldChar w:fldCharType="separate"/>
            </w:r>
            <w:r>
              <w:rPr>
                <w:rFonts w:hint="eastAsia" w:ascii="方正仿宋_GB2312" w:hAnsi="方正仿宋_GB2312" w:eastAsia="方正仿宋_GB2312" w:cs="方正仿宋_GB2312"/>
                <w:color w:val="333333"/>
                <w:kern w:val="0"/>
                <w:sz w:val="32"/>
                <w:szCs w:val="32"/>
              </w:rPr>
              <w:t>92.22</w:t>
            </w:r>
            <w:r>
              <w:rPr>
                <w:rFonts w:hint="eastAsia" w:ascii="方正仿宋_GB2312" w:hAnsi="方正仿宋_GB2312" w:eastAsia="方正仿宋_GB2312" w:cs="方正仿宋_GB2312"/>
                <w:color w:val="333333"/>
                <w:kern w:val="0"/>
                <w:sz w:val="32"/>
                <w:szCs w:val="32"/>
              </w:rPr>
              <w:fldChar w:fldCharType="end"/>
            </w:r>
          </w:p>
        </w:tc>
        <w:tc>
          <w:tcPr>
            <w:tcW w:w="1894" w:type="dxa"/>
            <w:vAlign w:val="center"/>
          </w:tcPr>
          <w:p w14:paraId="286DD5E1">
            <w:pPr>
              <w:widowControl/>
              <w:shd w:val="clear" w:color="010000" w:fill="auto"/>
              <w:spacing w:line="560" w:lineRule="exact"/>
              <w:jc w:val="center"/>
              <w:rPr>
                <w:rFonts w:hint="eastAsia" w:ascii="方正仿宋_GB2312" w:hAnsi="方正仿宋_GB2312" w:eastAsia="方正仿宋_GB2312" w:cs="方正仿宋_GB2312"/>
                <w:color w:val="333333"/>
                <w:kern w:val="0"/>
                <w:sz w:val="32"/>
                <w:szCs w:val="32"/>
              </w:rPr>
            </w:pPr>
            <w:r>
              <w:rPr>
                <w:rFonts w:hint="eastAsia" w:ascii="方正仿宋_GB2312" w:hAnsi="方正仿宋_GB2312" w:eastAsia="方正仿宋_GB2312" w:cs="方正仿宋_GB2312"/>
                <w:color w:val="333333"/>
                <w:kern w:val="0"/>
                <w:sz w:val="32"/>
                <w:szCs w:val="32"/>
              </w:rPr>
              <w:t>92.2%</w:t>
            </w:r>
          </w:p>
        </w:tc>
      </w:tr>
    </w:tbl>
    <w:p w14:paraId="20D22ED1">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具体评分情况：</w:t>
      </w:r>
    </w:p>
    <w:p w14:paraId="3A5ABCAD">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1.当年预算执行情况。该指标分值20分，评价得分17.92分。部门资金足额到位，预算执行率89.6%。能够确保各项工作顺利开展，预算执行较到位，能按照预算管理相关制度执行。</w:t>
      </w:r>
    </w:p>
    <w:p w14:paraId="46050DE4">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2.整体绩效目标实现情况。该指标分值60分，评价得分54.5分。其中：</w:t>
      </w:r>
    </w:p>
    <w:p w14:paraId="4AF2C3E3">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（1）产出情况指标分值30分，评价得分29.5分；扣0.5分。市投资促进中心各项目整体绩效目标完成较好，个别项目预算执行较低，例如机动经费、与在京国际商会联络服务对话系列活动等。</w:t>
      </w:r>
    </w:p>
    <w:p w14:paraId="5E51B00F">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效果情况指标分值30分，评价得分25分，扣5分。立项程序规范，绩效目标明确且与相关政策、职能要求相符；绩效指标与绩效目标、预算匹配度较好；绩效指标基本全面、合理、完整；部门资金足额到位，能够确保各项工作顺利开展，扣分原因是效果指标未量化，提供体现效果的支撑材料不充分。</w:t>
      </w:r>
    </w:p>
    <w:p w14:paraId="2620CA31">
      <w:pPr>
        <w:spacing w:line="360" w:lineRule="auto"/>
        <w:ind w:firstLine="640" w:firstLineChars="200"/>
        <w:rPr>
          <w:rFonts w:hint="eastAsia" w:ascii="楷体_GB2312" w:hAnsi="楷体_GB2312" w:eastAsia="楷体_GB2312" w:cs="楷体_GB2312"/>
          <w:b/>
          <w:bCs/>
          <w:kern w:val="2"/>
          <w:sz w:val="32"/>
          <w:szCs w:val="32"/>
          <w:lang w:val="en-US" w:eastAsia="zh-CN" w:bidi="ar-SA"/>
        </w:rPr>
      </w:pPr>
      <w:r>
        <w:rPr>
          <w:rFonts w:hint="eastAsia" w:ascii="方正仿宋_GB2312" w:hAnsi="方正仿宋_GB2312" w:eastAsia="方正仿宋_GB2312" w:cs="方正仿宋_GB2312"/>
          <w:sz w:val="32"/>
          <w:szCs w:val="32"/>
        </w:rPr>
        <w:t>3.预算管理情况。该指标分值20分，评分得分19.8分。其中：财务管理评价得分3.8分，资产管理评价得分4分，绩效管理评价得分4分，结转结余率评价得分4分，预决算差异率评价得分4分。预算管理比较到位，既能够较好地按照预算管理相关制度执行，绩效及资产管理较规范，但固定资产管理制度需进行修订。</w:t>
      </w:r>
    </w:p>
    <w:p w14:paraId="5EDC89FF">
      <w:pPr>
        <w:pStyle w:val="2"/>
        <w:ind w:left="0" w:leftChars="0" w:firstLine="643" w:firstLineChars="200"/>
        <w:rPr>
          <w:rFonts w:hint="default"/>
          <w:lang w:val="en-US" w:eastAsia="zh-CN"/>
        </w:rPr>
      </w:pPr>
      <w:r>
        <w:rPr>
          <w:rFonts w:hint="eastAsia" w:ascii="楷体_GB2312" w:hAnsi="楷体_GB2312" w:eastAsia="楷体_GB2312" w:cs="楷体_GB2312"/>
          <w:b/>
          <w:bCs/>
          <w:kern w:val="2"/>
          <w:sz w:val="32"/>
          <w:szCs w:val="32"/>
          <w:lang w:val="en-US" w:eastAsia="zh-CN" w:bidi="ar-SA"/>
        </w:rPr>
        <w:t>（二）存在问题及原因分析</w:t>
      </w:r>
    </w:p>
    <w:p w14:paraId="02776889">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2024年度，市投资促进中心各预算申报项目绩效目标填报的规范性及合理性较上年有所规范，指标内容具备了较为清晰的细化与量化程度。但个别项目的绩效目标填报仍存在科学性不足的情况，如：宣传推介北京未针对宣传片、海报设置质量指标，验收标准及质量达标率</w:t>
      </w:r>
      <w:r>
        <w:rPr>
          <w:rFonts w:hint="eastAsia" w:ascii="方正仿宋_GB2312" w:hAnsi="方正仿宋_GB2312" w:eastAsia="方正仿宋_GB2312" w:cs="方正仿宋_GB2312"/>
          <w:sz w:val="32"/>
          <w:szCs w:val="32"/>
          <w:lang w:eastAsia="zh-CN"/>
        </w:rPr>
        <w:t>等较为粗略</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eastAsia="zh-CN"/>
        </w:rPr>
        <w:t>个别</w:t>
      </w:r>
      <w:r>
        <w:rPr>
          <w:rFonts w:hint="eastAsia" w:ascii="方正仿宋_GB2312" w:hAnsi="方正仿宋_GB2312" w:eastAsia="方正仿宋_GB2312" w:cs="方正仿宋_GB2312"/>
          <w:sz w:val="32"/>
          <w:szCs w:val="32"/>
        </w:rPr>
        <w:t>招商引资活动</w:t>
      </w:r>
      <w:r>
        <w:rPr>
          <w:rFonts w:hint="eastAsia" w:ascii="方正仿宋_GB2312" w:hAnsi="方正仿宋_GB2312" w:eastAsia="方正仿宋_GB2312" w:cs="方正仿宋_GB2312"/>
          <w:sz w:val="32"/>
          <w:szCs w:val="32"/>
          <w:lang w:eastAsia="zh-CN"/>
        </w:rPr>
        <w:t>项目</w:t>
      </w:r>
      <w:r>
        <w:rPr>
          <w:rFonts w:hint="eastAsia" w:ascii="方正仿宋_GB2312" w:hAnsi="方正仿宋_GB2312" w:eastAsia="方正仿宋_GB2312" w:cs="方正仿宋_GB2312"/>
          <w:sz w:val="32"/>
          <w:szCs w:val="32"/>
        </w:rPr>
        <w:t>未设置</w:t>
      </w:r>
      <w:r>
        <w:rPr>
          <w:rFonts w:hint="eastAsia" w:ascii="方正仿宋_GB2312" w:hAnsi="方正仿宋_GB2312" w:eastAsia="方正仿宋_GB2312" w:cs="方正仿宋_GB2312"/>
          <w:sz w:val="32"/>
          <w:szCs w:val="32"/>
          <w:lang w:eastAsia="zh-CN"/>
        </w:rPr>
        <w:t>分项</w:t>
      </w:r>
      <w:bookmarkStart w:id="16" w:name="_GoBack"/>
      <w:bookmarkEnd w:id="16"/>
      <w:r>
        <w:rPr>
          <w:rFonts w:hint="eastAsia" w:ascii="方正仿宋_GB2312" w:hAnsi="方正仿宋_GB2312" w:eastAsia="方正仿宋_GB2312" w:cs="方正仿宋_GB2312"/>
          <w:sz w:val="32"/>
          <w:szCs w:val="32"/>
        </w:rPr>
        <w:t>成本指标</w:t>
      </w:r>
      <w:r>
        <w:rPr>
          <w:rFonts w:hint="eastAsia" w:ascii="方正仿宋_GB2312" w:hAnsi="方正仿宋_GB2312" w:eastAsia="方正仿宋_GB2312" w:cs="方正仿宋_GB2312"/>
          <w:sz w:val="32"/>
          <w:szCs w:val="32"/>
          <w:highlight w:val="none"/>
        </w:rPr>
        <w:t>。</w:t>
      </w:r>
    </w:p>
    <w:p w14:paraId="13C40174">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固定资产管理办法》第二条规定，“固定资产，是指北京市投资促进服务中心所有，使用期限超过一年，单位价值在1000元以上（专用设备单位价值在1500元以上），且在使用过程中保持原有物质形态的资产，以及单位价值虽未达到规定标准，但使用时间在一年以上的大批同类物资”，与《事业单位财务规则》第四十一条 “固定资产是指使用期限超过一年，单位价值在1000元以上，并在使用过程中基本保持原有物质形态的资产”的规定不相符，应及时进行修订。</w:t>
      </w:r>
    </w:p>
    <w:p w14:paraId="61787802">
      <w:pPr>
        <w:pStyle w:val="4"/>
        <w:ind w:firstLine="562"/>
        <w:rPr>
          <w:rFonts w:hint="eastAsia" w:ascii="黑体" w:hAnsi="黑体" w:eastAsia="黑体" w:cs="黑体"/>
          <w:b/>
          <w:bCs/>
          <w:sz w:val="32"/>
          <w:szCs w:val="32"/>
        </w:rPr>
      </w:pPr>
      <w:bookmarkStart w:id="11" w:name="_Toc29538"/>
      <w:r>
        <w:rPr>
          <w:rFonts w:hint="eastAsia" w:ascii="黑体" w:hAnsi="黑体" w:eastAsia="黑体" w:cs="黑体"/>
          <w:b/>
          <w:bCs/>
          <w:sz w:val="32"/>
          <w:szCs w:val="32"/>
        </w:rPr>
        <w:t>六、</w:t>
      </w:r>
      <w:r>
        <w:rPr>
          <w:rFonts w:hint="eastAsia" w:ascii="黑体" w:hAnsi="黑体" w:eastAsia="黑体" w:cs="黑体"/>
          <w:b/>
          <w:bCs/>
          <w:sz w:val="32"/>
          <w:szCs w:val="32"/>
          <w:lang w:val="en-US" w:eastAsia="zh-CN"/>
        </w:rPr>
        <w:t>措施</w:t>
      </w:r>
      <w:r>
        <w:rPr>
          <w:rFonts w:hint="eastAsia" w:ascii="黑体" w:hAnsi="黑体" w:eastAsia="黑体" w:cs="黑体"/>
          <w:b/>
          <w:bCs/>
          <w:sz w:val="32"/>
          <w:szCs w:val="32"/>
        </w:rPr>
        <w:t>建议</w:t>
      </w:r>
      <w:bookmarkEnd w:id="11"/>
    </w:p>
    <w:p w14:paraId="65A0DFC2">
      <w:pPr>
        <w:pStyle w:val="5"/>
        <w:rPr>
          <w:rFonts w:hint="eastAsia" w:ascii="楷体_GB2312" w:hAnsi="楷体_GB2312" w:eastAsia="楷体_GB2312" w:cs="楷体_GB2312"/>
          <w:b/>
          <w:bCs/>
          <w:kern w:val="2"/>
          <w:sz w:val="32"/>
          <w:szCs w:val="32"/>
          <w:lang w:val="en-US" w:eastAsia="zh-CN" w:bidi="ar-SA"/>
        </w:rPr>
      </w:pPr>
      <w:bookmarkStart w:id="12" w:name="_Toc10391"/>
      <w:r>
        <w:rPr>
          <w:rFonts w:hint="eastAsia" w:ascii="楷体_GB2312" w:hAnsi="楷体_GB2312" w:eastAsia="楷体_GB2312" w:cs="楷体_GB2312"/>
          <w:b/>
          <w:bCs/>
          <w:kern w:val="2"/>
          <w:sz w:val="32"/>
          <w:szCs w:val="32"/>
          <w:lang w:val="en-US" w:eastAsia="zh-CN" w:bidi="ar-SA"/>
        </w:rPr>
        <w:t>（一）科学设置绩效指标</w:t>
      </w:r>
      <w:bookmarkEnd w:id="12"/>
    </w:p>
    <w:p w14:paraId="67B4F90E">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根据市财政局有关绩效目标管理的要求，结合项目内容，规范填报部门整体支出绩效目标表，确保保证各项指标的完整性、细化、量化、可考核；在指标设置上进一步突出部门职责、中长期规划、与年度工作计划的关联性，保证目标的可考量性，提高绩效目标的导向性作用与可评价性。</w:t>
      </w:r>
    </w:p>
    <w:p w14:paraId="24C3774A">
      <w:pPr>
        <w:pStyle w:val="5"/>
        <w:rPr>
          <w:rFonts w:hint="eastAsia" w:ascii="楷体_GB2312" w:hAnsi="楷体_GB2312" w:eastAsia="楷体_GB2312" w:cs="楷体_GB2312"/>
          <w:b/>
          <w:bCs/>
          <w:kern w:val="2"/>
          <w:sz w:val="32"/>
          <w:szCs w:val="32"/>
          <w:lang w:val="en-US" w:eastAsia="zh-CN" w:bidi="ar-SA"/>
        </w:rPr>
      </w:pPr>
      <w:bookmarkStart w:id="13" w:name="_Toc4602"/>
      <w:r>
        <w:rPr>
          <w:rFonts w:hint="eastAsia" w:ascii="楷体_GB2312" w:hAnsi="楷体_GB2312" w:eastAsia="楷体_GB2312" w:cs="楷体_GB2312"/>
          <w:b/>
          <w:bCs/>
          <w:kern w:val="2"/>
          <w:sz w:val="32"/>
          <w:szCs w:val="32"/>
          <w:lang w:val="en-US" w:eastAsia="zh-CN" w:bidi="ar-SA"/>
        </w:rPr>
        <w:t>（二）建立健全内控制度</w:t>
      </w:r>
      <w:bookmarkEnd w:id="13"/>
    </w:p>
    <w:p w14:paraId="79C40641">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对标对表上位法，及时修订《固定资产管理办法》中针对固定资产标准的界定，为市投资促进中心资产运行提供制度遵循，确保国有资产安全完整。</w:t>
      </w:r>
    </w:p>
    <w:p w14:paraId="7030EA8A">
      <w:pPr>
        <w:pStyle w:val="5"/>
        <w:rPr>
          <w:rFonts w:hint="eastAsia" w:ascii="楷体_GB2312" w:hAnsi="楷体_GB2312" w:eastAsia="楷体_GB2312" w:cs="楷体_GB2312"/>
          <w:b/>
          <w:bCs/>
          <w:kern w:val="2"/>
          <w:sz w:val="32"/>
          <w:szCs w:val="32"/>
          <w:lang w:val="en-US" w:eastAsia="zh-CN" w:bidi="ar-SA"/>
        </w:rPr>
      </w:pPr>
      <w:bookmarkStart w:id="14" w:name="_Toc4409"/>
      <w:r>
        <w:rPr>
          <w:rFonts w:hint="eastAsia" w:ascii="楷体_GB2312" w:hAnsi="楷体_GB2312" w:eastAsia="楷体_GB2312" w:cs="楷体_GB2312"/>
          <w:b/>
          <w:bCs/>
          <w:kern w:val="2"/>
          <w:sz w:val="32"/>
          <w:szCs w:val="32"/>
          <w:lang w:val="en-US" w:eastAsia="zh-CN" w:bidi="ar-SA"/>
        </w:rPr>
        <w:t>（三）牢固树立“花钱必问效，无效必问责”意识</w:t>
      </w:r>
      <w:bookmarkEnd w:id="14"/>
    </w:p>
    <w:p w14:paraId="1FA2A4F3">
      <w:pPr>
        <w:spacing w:line="360" w:lineRule="auto"/>
        <w:ind w:firstLine="640" w:firstLineChars="200"/>
        <w:rPr>
          <w:rFonts w:hint="eastAsia" w:ascii="宋体" w:hAnsi="宋体" w:eastAsia="宋体"/>
          <w:sz w:val="28"/>
          <w:szCs w:val="28"/>
        </w:rPr>
      </w:pPr>
      <w:r>
        <w:rPr>
          <w:rFonts w:hint="eastAsia" w:ascii="方正仿宋_GB2312" w:hAnsi="方正仿宋_GB2312" w:eastAsia="方正仿宋_GB2312" w:cs="方正仿宋_GB2312"/>
          <w:sz w:val="32"/>
          <w:szCs w:val="32"/>
        </w:rPr>
        <w:t>重视项目绩效资料的留存与收集，在基本运行及项目执行环节应注重及时收集项目绩效资料，加强对相关数据的汇总分析和历史比对，从多方面反映项目绩效成果的实现程度，全面展示项目实施效果。</w:t>
      </w:r>
    </w:p>
    <w:p w14:paraId="3D9EB8A6">
      <w:pPr>
        <w:widowControl/>
        <w:jc w:val="left"/>
        <w:rPr>
          <w:rFonts w:hint="eastAsia" w:ascii="宋体" w:hAnsi="宋体" w:eastAsia="宋体"/>
          <w:sz w:val="28"/>
          <w:szCs w:val="28"/>
        </w:rPr>
      </w:pPr>
      <w:r>
        <w:rPr>
          <w:rFonts w:hint="eastAsia" w:ascii="宋体" w:hAnsi="宋体" w:eastAsia="宋体"/>
          <w:sz w:val="28"/>
          <w:szCs w:val="28"/>
        </w:rPr>
        <w:br w:type="page"/>
      </w:r>
    </w:p>
    <w:p w14:paraId="0D1E7EE4">
      <w:pPr>
        <w:spacing w:line="360" w:lineRule="auto"/>
        <w:ind w:firstLine="560" w:firstLineChars="200"/>
        <w:rPr>
          <w:rFonts w:hint="eastAsia" w:ascii="宋体" w:hAnsi="宋体" w:eastAsia="宋体"/>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65F6A859">
      <w:pPr>
        <w:pStyle w:val="4"/>
        <w:rPr>
          <w:rFonts w:hint="eastAsia"/>
        </w:rPr>
      </w:pPr>
      <w:bookmarkStart w:id="15" w:name="_Toc7671"/>
      <w:r>
        <w:rPr>
          <w:rFonts w:hint="eastAsia"/>
        </w:rPr>
        <w:t>附件：《北京市投资促进服务中心部门整体绩效评价指标体系》</w:t>
      </w:r>
      <w:bookmarkEnd w:id="15"/>
    </w:p>
    <w:tbl>
      <w:tblPr>
        <w:tblStyle w:val="25"/>
        <w:tblW w:w="5000" w:type="pct"/>
        <w:jc w:val="center"/>
        <w:tblLayout w:type="fixed"/>
        <w:tblCellMar>
          <w:top w:w="32" w:type="dxa"/>
          <w:left w:w="64" w:type="dxa"/>
          <w:bottom w:w="32" w:type="dxa"/>
          <w:right w:w="64" w:type="dxa"/>
        </w:tblCellMar>
      </w:tblPr>
      <w:tblGrid>
        <w:gridCol w:w="1774"/>
        <w:gridCol w:w="1609"/>
        <w:gridCol w:w="1702"/>
        <w:gridCol w:w="4493"/>
        <w:gridCol w:w="2375"/>
        <w:gridCol w:w="1105"/>
        <w:gridCol w:w="1028"/>
      </w:tblGrid>
      <w:tr w14:paraId="5AD57A36">
        <w:tblPrEx>
          <w:tblCellMar>
            <w:top w:w="32" w:type="dxa"/>
            <w:left w:w="64" w:type="dxa"/>
            <w:bottom w:w="32" w:type="dxa"/>
            <w:right w:w="64" w:type="dxa"/>
          </w:tblCellMar>
        </w:tblPrEx>
        <w:trPr>
          <w:trHeight w:val="0" w:hRule="atLeast"/>
          <w:jc w:val="center"/>
        </w:trPr>
        <w:tc>
          <w:tcPr>
            <w:tcW w:w="5000" w:type="pct"/>
            <w:gridSpan w:val="7"/>
            <w:tcBorders>
              <w:top w:val="nil"/>
              <w:left w:val="nil"/>
              <w:bottom w:val="nil"/>
              <w:right w:val="nil"/>
            </w:tcBorders>
            <w:shd w:val="clear" w:color="auto" w:fill="auto"/>
            <w:vAlign w:val="center"/>
          </w:tcPr>
          <w:p w14:paraId="42A54F06">
            <w:pPr>
              <w:widowControl/>
              <w:snapToGrid w:val="0"/>
              <w:jc w:val="center"/>
              <w:rPr>
                <w:rFonts w:hint="eastAsia" w:ascii="方正小标宋简体" w:hAnsi="方正小标宋简体" w:eastAsia="方正小标宋简体" w:cs="宋体"/>
                <w:color w:val="000000"/>
                <w:kern w:val="0"/>
                <w:sz w:val="44"/>
                <w:szCs w:val="44"/>
                <w:lang w:eastAsia="zh-CN"/>
              </w:rPr>
            </w:pPr>
            <w:r>
              <w:rPr>
                <w:rFonts w:hint="eastAsia" w:ascii="黑体" w:hAnsi="黑体" w:eastAsia="黑体" w:cs="黑体"/>
                <w:color w:val="000000"/>
                <w:kern w:val="0"/>
                <w:sz w:val="44"/>
                <w:szCs w:val="44"/>
                <w:lang w:eastAsia="zh-CN"/>
              </w:rPr>
              <w:t>北京市投资促进服务中心部门整体绩效评价指标体系</w:t>
            </w:r>
          </w:p>
        </w:tc>
      </w:tr>
      <w:tr w14:paraId="0179424F">
        <w:tblPrEx>
          <w:tblCellMar>
            <w:top w:w="32" w:type="dxa"/>
            <w:left w:w="64" w:type="dxa"/>
            <w:bottom w:w="32" w:type="dxa"/>
            <w:right w:w="64" w:type="dxa"/>
          </w:tblCellMar>
        </w:tblPrEx>
        <w:trPr>
          <w:trHeight w:val="0" w:hRule="atLeast"/>
          <w:jc w:val="cent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BE4C13">
            <w:pPr>
              <w:widowControl/>
              <w:snapToGrid w:val="0"/>
              <w:jc w:val="center"/>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lang w:eastAsia="zh-CN"/>
              </w:rPr>
              <w:t>一、当年预算执行情况（20分）</w:t>
            </w:r>
          </w:p>
        </w:tc>
      </w:tr>
      <w:tr w14:paraId="6FDE87A7">
        <w:tblPrEx>
          <w:tblCellMar>
            <w:top w:w="32" w:type="dxa"/>
            <w:left w:w="64" w:type="dxa"/>
            <w:bottom w:w="32" w:type="dxa"/>
            <w:right w:w="64" w:type="dxa"/>
          </w:tblCellMar>
        </w:tblPrEx>
        <w:trPr>
          <w:trHeight w:val="0" w:hRule="atLeast"/>
          <w:jc w:val="center"/>
        </w:trPr>
        <w:tc>
          <w:tcPr>
            <w:tcW w:w="629" w:type="pct"/>
            <w:tcBorders>
              <w:top w:val="nil"/>
              <w:left w:val="single" w:color="auto" w:sz="4" w:space="0"/>
              <w:bottom w:val="single" w:color="auto" w:sz="4" w:space="0"/>
              <w:right w:val="single" w:color="auto" w:sz="4" w:space="0"/>
            </w:tcBorders>
            <w:shd w:val="clear" w:color="auto" w:fill="auto"/>
            <w:vAlign w:val="center"/>
          </w:tcPr>
          <w:p w14:paraId="23F1762A">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一级指标</w:t>
            </w:r>
          </w:p>
        </w:tc>
        <w:tc>
          <w:tcPr>
            <w:tcW w:w="571" w:type="pct"/>
            <w:tcBorders>
              <w:top w:val="nil"/>
              <w:left w:val="nil"/>
              <w:bottom w:val="single" w:color="auto" w:sz="4" w:space="0"/>
              <w:right w:val="single" w:color="auto" w:sz="4" w:space="0"/>
            </w:tcBorders>
            <w:shd w:val="clear" w:color="auto" w:fill="auto"/>
            <w:vAlign w:val="center"/>
          </w:tcPr>
          <w:p w14:paraId="014EFC35">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二级指标</w:t>
            </w:r>
          </w:p>
        </w:tc>
        <w:tc>
          <w:tcPr>
            <w:tcW w:w="604" w:type="pct"/>
            <w:tcBorders>
              <w:top w:val="nil"/>
              <w:left w:val="nil"/>
              <w:bottom w:val="single" w:color="auto" w:sz="4" w:space="0"/>
              <w:right w:val="single" w:color="auto" w:sz="4" w:space="0"/>
            </w:tcBorders>
            <w:shd w:val="clear" w:color="auto" w:fill="auto"/>
            <w:vAlign w:val="center"/>
          </w:tcPr>
          <w:p w14:paraId="4E2E3F27">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预算数（万元）</w:t>
            </w:r>
          </w:p>
        </w:tc>
        <w:tc>
          <w:tcPr>
            <w:tcW w:w="1594" w:type="pct"/>
            <w:tcBorders>
              <w:top w:val="nil"/>
              <w:left w:val="nil"/>
              <w:bottom w:val="single" w:color="auto" w:sz="4" w:space="0"/>
              <w:right w:val="single" w:color="auto" w:sz="4" w:space="0"/>
            </w:tcBorders>
            <w:shd w:val="clear" w:color="auto" w:fill="auto"/>
            <w:vAlign w:val="center"/>
          </w:tcPr>
          <w:p w14:paraId="5F399EB6">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执行数（万元）</w:t>
            </w:r>
          </w:p>
        </w:tc>
        <w:tc>
          <w:tcPr>
            <w:tcW w:w="843" w:type="pct"/>
            <w:tcBorders>
              <w:top w:val="nil"/>
              <w:left w:val="nil"/>
              <w:bottom w:val="single" w:color="auto" w:sz="4" w:space="0"/>
              <w:right w:val="single" w:color="auto" w:sz="4" w:space="0"/>
            </w:tcBorders>
            <w:shd w:val="clear" w:color="auto" w:fill="auto"/>
            <w:vAlign w:val="center"/>
          </w:tcPr>
          <w:p w14:paraId="408A8A27">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预算执行率</w:t>
            </w:r>
          </w:p>
        </w:tc>
        <w:tc>
          <w:tcPr>
            <w:tcW w:w="392" w:type="pct"/>
            <w:tcBorders>
              <w:top w:val="nil"/>
              <w:left w:val="nil"/>
              <w:bottom w:val="single" w:color="auto" w:sz="4" w:space="0"/>
              <w:right w:val="single" w:color="auto" w:sz="4" w:space="0"/>
            </w:tcBorders>
            <w:shd w:val="clear" w:color="auto" w:fill="auto"/>
            <w:vAlign w:val="center"/>
          </w:tcPr>
          <w:p w14:paraId="1DE2D270">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分值</w:t>
            </w:r>
          </w:p>
        </w:tc>
        <w:tc>
          <w:tcPr>
            <w:tcW w:w="364" w:type="pct"/>
            <w:tcBorders>
              <w:top w:val="nil"/>
              <w:left w:val="nil"/>
              <w:bottom w:val="single" w:color="auto" w:sz="4" w:space="0"/>
              <w:right w:val="single" w:color="auto" w:sz="4" w:space="0"/>
            </w:tcBorders>
            <w:shd w:val="clear" w:color="auto" w:fill="auto"/>
            <w:vAlign w:val="center"/>
          </w:tcPr>
          <w:p w14:paraId="21AFC51E">
            <w:pPr>
              <w:widowControl/>
              <w:snapToGrid w:val="0"/>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得分</w:t>
            </w:r>
          </w:p>
        </w:tc>
      </w:tr>
      <w:tr w14:paraId="59446CEB">
        <w:tblPrEx>
          <w:tblCellMar>
            <w:top w:w="32" w:type="dxa"/>
            <w:left w:w="64" w:type="dxa"/>
            <w:bottom w:w="32" w:type="dxa"/>
            <w:right w:w="64" w:type="dxa"/>
          </w:tblCellMar>
        </w:tblPrEx>
        <w:trPr>
          <w:trHeight w:val="0" w:hRule="atLeast"/>
          <w:jc w:val="center"/>
        </w:trPr>
        <w:tc>
          <w:tcPr>
            <w:tcW w:w="629" w:type="pct"/>
            <w:vMerge w:val="restart"/>
            <w:tcBorders>
              <w:top w:val="nil"/>
              <w:left w:val="single" w:color="auto" w:sz="4" w:space="0"/>
              <w:bottom w:val="single" w:color="auto" w:sz="4" w:space="0"/>
              <w:right w:val="single" w:color="auto" w:sz="4" w:space="0"/>
            </w:tcBorders>
            <w:shd w:val="clear" w:color="auto" w:fill="auto"/>
            <w:vAlign w:val="center"/>
          </w:tcPr>
          <w:p w14:paraId="470715B1">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当年预算执行情况（20）</w:t>
            </w:r>
          </w:p>
        </w:tc>
        <w:tc>
          <w:tcPr>
            <w:tcW w:w="571" w:type="pct"/>
            <w:tcBorders>
              <w:top w:val="nil"/>
              <w:left w:val="nil"/>
              <w:bottom w:val="single" w:color="auto" w:sz="4" w:space="0"/>
              <w:right w:val="single" w:color="auto" w:sz="4" w:space="0"/>
            </w:tcBorders>
            <w:shd w:val="clear" w:color="auto" w:fill="auto"/>
            <w:vAlign w:val="center"/>
          </w:tcPr>
          <w:p w14:paraId="75D8033C">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资金总体</w:t>
            </w:r>
          </w:p>
        </w:tc>
        <w:tc>
          <w:tcPr>
            <w:tcW w:w="604" w:type="pct"/>
            <w:tcBorders>
              <w:top w:val="nil"/>
              <w:left w:val="nil"/>
              <w:bottom w:val="single" w:color="auto" w:sz="4" w:space="0"/>
              <w:right w:val="single" w:color="auto" w:sz="4" w:space="0"/>
            </w:tcBorders>
            <w:shd w:val="clear" w:color="auto" w:fill="auto"/>
            <w:vAlign w:val="center"/>
          </w:tcPr>
          <w:p w14:paraId="7B011020">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6998.56</w:t>
            </w:r>
          </w:p>
        </w:tc>
        <w:tc>
          <w:tcPr>
            <w:tcW w:w="1594" w:type="pct"/>
            <w:tcBorders>
              <w:top w:val="nil"/>
              <w:left w:val="nil"/>
              <w:bottom w:val="single" w:color="auto" w:sz="4" w:space="0"/>
              <w:right w:val="single" w:color="auto" w:sz="4" w:space="0"/>
            </w:tcBorders>
            <w:shd w:val="clear" w:color="auto" w:fill="auto"/>
            <w:vAlign w:val="center"/>
          </w:tcPr>
          <w:p w14:paraId="72D49B3A">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6269.72</w:t>
            </w:r>
          </w:p>
        </w:tc>
        <w:tc>
          <w:tcPr>
            <w:tcW w:w="843" w:type="pct"/>
            <w:tcBorders>
              <w:top w:val="nil"/>
              <w:left w:val="nil"/>
              <w:bottom w:val="single" w:color="auto" w:sz="4" w:space="0"/>
              <w:right w:val="single" w:color="auto" w:sz="4" w:space="0"/>
            </w:tcBorders>
            <w:shd w:val="clear" w:color="auto" w:fill="auto"/>
            <w:vAlign w:val="center"/>
          </w:tcPr>
          <w:p w14:paraId="6153E6CC">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89.6%</w:t>
            </w: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6AC9FB25">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20</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61B4AEE1">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17.92</w:t>
            </w:r>
          </w:p>
        </w:tc>
      </w:tr>
      <w:tr w14:paraId="0A89545D">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1135D9F">
            <w:pPr>
              <w:widowControl/>
              <w:snapToGrid w:val="0"/>
              <w:jc w:val="center"/>
              <w:rPr>
                <w:rFonts w:hint="eastAsia" w:ascii="宋体" w:hAnsi="宋体" w:eastAsia="宋体" w:cs="宋体"/>
                <w:color w:val="000000"/>
                <w:kern w:val="0"/>
                <w:sz w:val="18"/>
                <w:szCs w:val="20"/>
              </w:rPr>
            </w:pPr>
          </w:p>
        </w:tc>
        <w:tc>
          <w:tcPr>
            <w:tcW w:w="571" w:type="pct"/>
            <w:tcBorders>
              <w:top w:val="nil"/>
              <w:left w:val="nil"/>
              <w:bottom w:val="single" w:color="auto" w:sz="4" w:space="0"/>
              <w:right w:val="single" w:color="auto" w:sz="4" w:space="0"/>
            </w:tcBorders>
            <w:shd w:val="clear" w:color="auto" w:fill="auto"/>
            <w:vAlign w:val="center"/>
          </w:tcPr>
          <w:p w14:paraId="4EFB65F7">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基本支出</w:t>
            </w:r>
          </w:p>
        </w:tc>
        <w:tc>
          <w:tcPr>
            <w:tcW w:w="604" w:type="pct"/>
            <w:tcBorders>
              <w:top w:val="nil"/>
              <w:left w:val="nil"/>
              <w:bottom w:val="single" w:color="auto" w:sz="4" w:space="0"/>
              <w:right w:val="single" w:color="auto" w:sz="4" w:space="0"/>
            </w:tcBorders>
            <w:shd w:val="clear" w:color="auto" w:fill="auto"/>
            <w:vAlign w:val="center"/>
          </w:tcPr>
          <w:p w14:paraId="1D83A054">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4499.97</w:t>
            </w:r>
          </w:p>
        </w:tc>
        <w:tc>
          <w:tcPr>
            <w:tcW w:w="1594" w:type="pct"/>
            <w:tcBorders>
              <w:top w:val="nil"/>
              <w:left w:val="nil"/>
              <w:bottom w:val="single" w:color="auto" w:sz="4" w:space="0"/>
              <w:right w:val="single" w:color="auto" w:sz="4" w:space="0"/>
            </w:tcBorders>
            <w:shd w:val="clear" w:color="auto" w:fill="auto"/>
            <w:vAlign w:val="center"/>
          </w:tcPr>
          <w:p w14:paraId="5DAA8A0F">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4363.45</w:t>
            </w:r>
          </w:p>
        </w:tc>
        <w:tc>
          <w:tcPr>
            <w:tcW w:w="843" w:type="pct"/>
            <w:tcBorders>
              <w:top w:val="nil"/>
              <w:left w:val="nil"/>
              <w:bottom w:val="single" w:color="auto" w:sz="4" w:space="0"/>
              <w:right w:val="single" w:color="auto" w:sz="4" w:space="0"/>
            </w:tcBorders>
            <w:shd w:val="clear" w:color="auto" w:fill="auto"/>
            <w:vAlign w:val="center"/>
          </w:tcPr>
          <w:p w14:paraId="727F4F97">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97%</w:t>
            </w:r>
          </w:p>
        </w:tc>
        <w:tc>
          <w:tcPr>
            <w:tcW w:w="392" w:type="pct"/>
            <w:vMerge w:val="continue"/>
            <w:tcBorders>
              <w:top w:val="nil"/>
              <w:left w:val="single" w:color="auto" w:sz="4" w:space="0"/>
              <w:bottom w:val="single" w:color="auto" w:sz="4" w:space="0"/>
              <w:right w:val="single" w:color="auto" w:sz="4" w:space="0"/>
            </w:tcBorders>
            <w:vAlign w:val="center"/>
          </w:tcPr>
          <w:p w14:paraId="191D5483">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153FD46C">
            <w:pPr>
              <w:widowControl/>
              <w:snapToGrid w:val="0"/>
              <w:jc w:val="center"/>
              <w:rPr>
                <w:rFonts w:hint="eastAsia" w:ascii="宋体" w:hAnsi="宋体" w:eastAsia="宋体" w:cs="宋体"/>
                <w:color w:val="000000"/>
                <w:kern w:val="0"/>
                <w:sz w:val="18"/>
                <w:szCs w:val="20"/>
              </w:rPr>
            </w:pPr>
          </w:p>
        </w:tc>
      </w:tr>
      <w:tr w14:paraId="69C6DF4E">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517633B3">
            <w:pPr>
              <w:widowControl/>
              <w:snapToGrid w:val="0"/>
              <w:jc w:val="center"/>
              <w:rPr>
                <w:rFonts w:hint="eastAsia" w:ascii="宋体" w:hAnsi="宋体" w:eastAsia="宋体" w:cs="宋体"/>
                <w:color w:val="000000"/>
                <w:kern w:val="0"/>
                <w:sz w:val="18"/>
                <w:szCs w:val="20"/>
              </w:rPr>
            </w:pPr>
          </w:p>
        </w:tc>
        <w:tc>
          <w:tcPr>
            <w:tcW w:w="571" w:type="pct"/>
            <w:tcBorders>
              <w:top w:val="nil"/>
              <w:left w:val="nil"/>
              <w:bottom w:val="single" w:color="auto" w:sz="4" w:space="0"/>
              <w:right w:val="single" w:color="auto" w:sz="4" w:space="0"/>
            </w:tcBorders>
            <w:shd w:val="clear" w:color="auto" w:fill="auto"/>
            <w:vAlign w:val="center"/>
          </w:tcPr>
          <w:p w14:paraId="3EAA318B">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项目支出</w:t>
            </w:r>
          </w:p>
        </w:tc>
        <w:tc>
          <w:tcPr>
            <w:tcW w:w="604" w:type="pct"/>
            <w:tcBorders>
              <w:top w:val="nil"/>
              <w:left w:val="nil"/>
              <w:bottom w:val="single" w:color="auto" w:sz="4" w:space="0"/>
              <w:right w:val="single" w:color="auto" w:sz="4" w:space="0"/>
            </w:tcBorders>
            <w:shd w:val="clear" w:color="auto" w:fill="auto"/>
            <w:vAlign w:val="center"/>
          </w:tcPr>
          <w:p w14:paraId="223B8155">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2010.12</w:t>
            </w:r>
          </w:p>
        </w:tc>
        <w:tc>
          <w:tcPr>
            <w:tcW w:w="1594" w:type="pct"/>
            <w:tcBorders>
              <w:top w:val="nil"/>
              <w:left w:val="nil"/>
              <w:bottom w:val="single" w:color="auto" w:sz="4" w:space="0"/>
              <w:right w:val="single" w:color="auto" w:sz="4" w:space="0"/>
            </w:tcBorders>
            <w:shd w:val="clear" w:color="auto" w:fill="auto"/>
            <w:vAlign w:val="center"/>
          </w:tcPr>
          <w:p w14:paraId="5FDD5991">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1879.12</w:t>
            </w:r>
          </w:p>
        </w:tc>
        <w:tc>
          <w:tcPr>
            <w:tcW w:w="843" w:type="pct"/>
            <w:tcBorders>
              <w:top w:val="nil"/>
              <w:left w:val="nil"/>
              <w:bottom w:val="single" w:color="auto" w:sz="4" w:space="0"/>
              <w:right w:val="single" w:color="auto" w:sz="4" w:space="0"/>
            </w:tcBorders>
            <w:shd w:val="clear" w:color="auto" w:fill="auto"/>
            <w:vAlign w:val="center"/>
          </w:tcPr>
          <w:p w14:paraId="49C1F8A6">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93.5%</w:t>
            </w:r>
          </w:p>
        </w:tc>
        <w:tc>
          <w:tcPr>
            <w:tcW w:w="392" w:type="pct"/>
            <w:vMerge w:val="continue"/>
            <w:tcBorders>
              <w:top w:val="nil"/>
              <w:left w:val="single" w:color="auto" w:sz="4" w:space="0"/>
              <w:bottom w:val="single" w:color="auto" w:sz="4" w:space="0"/>
              <w:right w:val="single" w:color="auto" w:sz="4" w:space="0"/>
            </w:tcBorders>
            <w:vAlign w:val="center"/>
          </w:tcPr>
          <w:p w14:paraId="316CE481">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3986E76E">
            <w:pPr>
              <w:widowControl/>
              <w:snapToGrid w:val="0"/>
              <w:jc w:val="center"/>
              <w:rPr>
                <w:rFonts w:hint="eastAsia" w:ascii="宋体" w:hAnsi="宋体" w:eastAsia="宋体" w:cs="宋体"/>
                <w:color w:val="000000"/>
                <w:kern w:val="0"/>
                <w:sz w:val="18"/>
                <w:szCs w:val="20"/>
              </w:rPr>
            </w:pPr>
          </w:p>
        </w:tc>
      </w:tr>
      <w:tr w14:paraId="36461A8B">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0D71B557">
            <w:pPr>
              <w:widowControl/>
              <w:snapToGrid w:val="0"/>
              <w:jc w:val="center"/>
              <w:rPr>
                <w:rFonts w:hint="eastAsia" w:ascii="宋体" w:hAnsi="宋体" w:eastAsia="宋体" w:cs="宋体"/>
                <w:color w:val="000000"/>
                <w:kern w:val="0"/>
                <w:sz w:val="18"/>
                <w:szCs w:val="20"/>
              </w:rPr>
            </w:pPr>
          </w:p>
        </w:tc>
        <w:tc>
          <w:tcPr>
            <w:tcW w:w="571" w:type="pct"/>
            <w:tcBorders>
              <w:top w:val="nil"/>
              <w:left w:val="nil"/>
              <w:bottom w:val="single" w:color="auto" w:sz="4" w:space="0"/>
              <w:right w:val="single" w:color="auto" w:sz="4" w:space="0"/>
            </w:tcBorders>
            <w:shd w:val="clear" w:color="auto" w:fill="auto"/>
            <w:vAlign w:val="center"/>
          </w:tcPr>
          <w:p w14:paraId="5E4683B3">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其他</w:t>
            </w:r>
          </w:p>
        </w:tc>
        <w:tc>
          <w:tcPr>
            <w:tcW w:w="604" w:type="pct"/>
            <w:tcBorders>
              <w:top w:val="nil"/>
              <w:left w:val="nil"/>
              <w:bottom w:val="single" w:color="auto" w:sz="4" w:space="0"/>
              <w:right w:val="single" w:color="auto" w:sz="4" w:space="0"/>
            </w:tcBorders>
            <w:shd w:val="clear" w:color="auto" w:fill="auto"/>
            <w:vAlign w:val="center"/>
          </w:tcPr>
          <w:p w14:paraId="5237539A">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488.47</w:t>
            </w:r>
          </w:p>
        </w:tc>
        <w:tc>
          <w:tcPr>
            <w:tcW w:w="1594" w:type="pct"/>
            <w:tcBorders>
              <w:top w:val="nil"/>
              <w:left w:val="nil"/>
              <w:bottom w:val="single" w:color="auto" w:sz="4" w:space="0"/>
              <w:right w:val="single" w:color="auto" w:sz="4" w:space="0"/>
            </w:tcBorders>
            <w:shd w:val="clear" w:color="auto" w:fill="auto"/>
            <w:vAlign w:val="center"/>
          </w:tcPr>
          <w:p w14:paraId="2F8F122A">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27.14</w:t>
            </w:r>
          </w:p>
        </w:tc>
        <w:tc>
          <w:tcPr>
            <w:tcW w:w="843" w:type="pct"/>
            <w:tcBorders>
              <w:top w:val="nil"/>
              <w:left w:val="nil"/>
              <w:bottom w:val="single" w:color="auto" w:sz="4" w:space="0"/>
              <w:right w:val="single" w:color="auto" w:sz="4" w:space="0"/>
            </w:tcBorders>
            <w:shd w:val="clear" w:color="auto" w:fill="auto"/>
            <w:vAlign w:val="center"/>
          </w:tcPr>
          <w:p w14:paraId="1EB8993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5.6%</w:t>
            </w:r>
          </w:p>
        </w:tc>
        <w:tc>
          <w:tcPr>
            <w:tcW w:w="392" w:type="pct"/>
            <w:vMerge w:val="continue"/>
            <w:tcBorders>
              <w:top w:val="nil"/>
              <w:left w:val="single" w:color="auto" w:sz="4" w:space="0"/>
              <w:bottom w:val="single" w:color="auto" w:sz="4" w:space="0"/>
              <w:right w:val="single" w:color="auto" w:sz="4" w:space="0"/>
            </w:tcBorders>
            <w:vAlign w:val="center"/>
          </w:tcPr>
          <w:p w14:paraId="2ADAC985">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2671B46E">
            <w:pPr>
              <w:widowControl/>
              <w:snapToGrid w:val="0"/>
              <w:jc w:val="center"/>
              <w:rPr>
                <w:rFonts w:hint="eastAsia" w:ascii="宋体" w:hAnsi="宋体" w:eastAsia="宋体" w:cs="宋体"/>
                <w:color w:val="000000"/>
                <w:kern w:val="0"/>
                <w:sz w:val="18"/>
                <w:szCs w:val="20"/>
              </w:rPr>
            </w:pPr>
          </w:p>
        </w:tc>
      </w:tr>
      <w:tr w14:paraId="3B046DCD">
        <w:tblPrEx>
          <w:tblCellMar>
            <w:top w:w="32" w:type="dxa"/>
            <w:left w:w="64" w:type="dxa"/>
            <w:bottom w:w="32" w:type="dxa"/>
            <w:right w:w="64" w:type="dxa"/>
          </w:tblCellMar>
        </w:tblPrEx>
        <w:trPr>
          <w:trHeight w:val="0" w:hRule="atLeast"/>
          <w:jc w:val="cent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752475">
            <w:pPr>
              <w:widowControl/>
              <w:snapToGrid w:val="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二、</w:t>
            </w:r>
            <w:r>
              <w:rPr>
                <w:rFonts w:hint="eastAsia" w:ascii="宋体" w:hAnsi="宋体" w:eastAsia="宋体" w:cs="宋体"/>
                <w:b/>
                <w:bCs/>
                <w:color w:val="000000"/>
                <w:kern w:val="0"/>
                <w:sz w:val="20"/>
                <w:szCs w:val="20"/>
              </w:rPr>
              <w:t>整体绩效目标实现情况（60分）</w:t>
            </w:r>
          </w:p>
        </w:tc>
      </w:tr>
      <w:tr w14:paraId="052FBA3C">
        <w:tblPrEx>
          <w:tblCellMar>
            <w:top w:w="32" w:type="dxa"/>
            <w:left w:w="64" w:type="dxa"/>
            <w:bottom w:w="32" w:type="dxa"/>
            <w:right w:w="64" w:type="dxa"/>
          </w:tblCellMar>
        </w:tblPrEx>
        <w:trPr>
          <w:trHeight w:val="0" w:hRule="atLeast"/>
          <w:jc w:val="center"/>
        </w:trPr>
        <w:tc>
          <w:tcPr>
            <w:tcW w:w="629" w:type="pct"/>
            <w:tcBorders>
              <w:top w:val="nil"/>
              <w:left w:val="single" w:color="auto" w:sz="4" w:space="0"/>
              <w:bottom w:val="single" w:color="auto" w:sz="4" w:space="0"/>
              <w:right w:val="single" w:color="auto" w:sz="4" w:space="0"/>
            </w:tcBorders>
            <w:shd w:val="clear" w:color="auto" w:fill="auto"/>
            <w:vAlign w:val="center"/>
          </w:tcPr>
          <w:p w14:paraId="33F52E63">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一级指标</w:t>
            </w:r>
          </w:p>
        </w:tc>
        <w:tc>
          <w:tcPr>
            <w:tcW w:w="571" w:type="pct"/>
            <w:tcBorders>
              <w:top w:val="nil"/>
              <w:left w:val="nil"/>
              <w:bottom w:val="single" w:color="auto" w:sz="4" w:space="0"/>
              <w:right w:val="single" w:color="auto" w:sz="4" w:space="0"/>
            </w:tcBorders>
            <w:shd w:val="clear" w:color="auto" w:fill="auto"/>
            <w:vAlign w:val="center"/>
          </w:tcPr>
          <w:p w14:paraId="6001486E">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二级指标</w:t>
            </w:r>
          </w:p>
        </w:tc>
        <w:tc>
          <w:tcPr>
            <w:tcW w:w="604" w:type="pct"/>
            <w:tcBorders>
              <w:top w:val="nil"/>
              <w:left w:val="nil"/>
              <w:bottom w:val="single" w:color="auto" w:sz="4" w:space="0"/>
              <w:right w:val="single" w:color="auto" w:sz="4" w:space="0"/>
            </w:tcBorders>
            <w:shd w:val="clear" w:color="auto" w:fill="auto"/>
            <w:vAlign w:val="center"/>
          </w:tcPr>
          <w:p w14:paraId="2C449434">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1594" w:type="pct"/>
            <w:tcBorders>
              <w:top w:val="nil"/>
              <w:left w:val="nil"/>
              <w:bottom w:val="single" w:color="auto" w:sz="4" w:space="0"/>
              <w:right w:val="single" w:color="auto" w:sz="4" w:space="0"/>
            </w:tcBorders>
            <w:shd w:val="clear" w:color="auto" w:fill="auto"/>
            <w:vAlign w:val="center"/>
          </w:tcPr>
          <w:p w14:paraId="5DF66C79">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843" w:type="pct"/>
            <w:tcBorders>
              <w:top w:val="nil"/>
              <w:left w:val="nil"/>
              <w:bottom w:val="single" w:color="auto" w:sz="4" w:space="0"/>
              <w:right w:val="single" w:color="auto" w:sz="4" w:space="0"/>
            </w:tcBorders>
            <w:shd w:val="clear" w:color="auto" w:fill="auto"/>
            <w:vAlign w:val="center"/>
          </w:tcPr>
          <w:p w14:paraId="51AC5923">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完成值</w:t>
            </w:r>
          </w:p>
        </w:tc>
        <w:tc>
          <w:tcPr>
            <w:tcW w:w="392" w:type="pct"/>
            <w:tcBorders>
              <w:top w:val="nil"/>
              <w:left w:val="nil"/>
              <w:bottom w:val="single" w:color="auto" w:sz="4" w:space="0"/>
              <w:right w:val="single" w:color="auto" w:sz="4" w:space="0"/>
            </w:tcBorders>
            <w:shd w:val="clear" w:color="auto" w:fill="auto"/>
            <w:vAlign w:val="center"/>
          </w:tcPr>
          <w:p w14:paraId="5BE4853B">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364" w:type="pct"/>
            <w:tcBorders>
              <w:top w:val="nil"/>
              <w:left w:val="nil"/>
              <w:bottom w:val="single" w:color="auto" w:sz="4" w:space="0"/>
              <w:right w:val="single" w:color="auto" w:sz="4" w:space="0"/>
            </w:tcBorders>
            <w:shd w:val="clear" w:color="auto" w:fill="auto"/>
            <w:vAlign w:val="center"/>
          </w:tcPr>
          <w:p w14:paraId="68D80963">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14:paraId="05441CAB">
        <w:tblPrEx>
          <w:tblCellMar>
            <w:top w:w="32" w:type="dxa"/>
            <w:left w:w="64" w:type="dxa"/>
            <w:bottom w:w="32" w:type="dxa"/>
            <w:right w:w="64" w:type="dxa"/>
          </w:tblCellMar>
        </w:tblPrEx>
        <w:trPr>
          <w:trHeight w:val="0" w:hRule="atLeast"/>
          <w:jc w:val="center"/>
        </w:trPr>
        <w:tc>
          <w:tcPr>
            <w:tcW w:w="62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083FE7">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整体绩效目标实现情况（60）</w:t>
            </w:r>
          </w:p>
        </w:tc>
        <w:tc>
          <w:tcPr>
            <w:tcW w:w="5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884BEC">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产出（30）</w:t>
            </w:r>
          </w:p>
        </w:tc>
        <w:tc>
          <w:tcPr>
            <w:tcW w:w="6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56FC2">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部门整体目标达成度</w:t>
            </w:r>
          </w:p>
        </w:tc>
        <w:tc>
          <w:tcPr>
            <w:tcW w:w="1594" w:type="pct"/>
            <w:tcBorders>
              <w:top w:val="single" w:color="auto" w:sz="4" w:space="0"/>
              <w:left w:val="nil"/>
              <w:bottom w:val="single" w:color="auto" w:sz="4" w:space="0"/>
              <w:right w:val="single" w:color="auto" w:sz="4" w:space="0"/>
            </w:tcBorders>
            <w:shd w:val="clear" w:color="auto" w:fill="auto"/>
            <w:vAlign w:val="center"/>
          </w:tcPr>
          <w:p w14:paraId="502D22D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产出数量：</w:t>
            </w:r>
          </w:p>
        </w:tc>
        <w:tc>
          <w:tcPr>
            <w:tcW w:w="843" w:type="pct"/>
            <w:tcBorders>
              <w:top w:val="single" w:color="auto" w:sz="4" w:space="0"/>
              <w:left w:val="nil"/>
              <w:bottom w:val="single" w:color="auto" w:sz="4" w:space="0"/>
              <w:right w:val="single" w:color="auto" w:sz="4" w:space="0"/>
            </w:tcBorders>
            <w:shd w:val="clear" w:color="auto" w:fill="auto"/>
            <w:vAlign w:val="center"/>
          </w:tcPr>
          <w:p w14:paraId="6E9E893D">
            <w:pPr>
              <w:widowControl/>
              <w:snapToGrid w:val="0"/>
              <w:jc w:val="center"/>
              <w:rPr>
                <w:rFonts w:hint="eastAsia" w:ascii="宋体" w:hAnsi="宋体" w:eastAsia="宋体" w:cs="宋体"/>
                <w:color w:val="000000"/>
                <w:kern w:val="0"/>
                <w:sz w:val="18"/>
                <w:szCs w:val="20"/>
              </w:rPr>
            </w:pPr>
          </w:p>
        </w:tc>
        <w:tc>
          <w:tcPr>
            <w:tcW w:w="392" w:type="pct"/>
            <w:tcBorders>
              <w:top w:val="single" w:color="auto" w:sz="4" w:space="0"/>
              <w:left w:val="nil"/>
              <w:bottom w:val="single" w:color="auto" w:sz="4" w:space="0"/>
              <w:right w:val="single" w:color="auto" w:sz="4" w:space="0"/>
            </w:tcBorders>
            <w:shd w:val="clear" w:color="auto" w:fill="auto"/>
            <w:vAlign w:val="center"/>
          </w:tcPr>
          <w:p w14:paraId="5303E205">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c>
          <w:tcPr>
            <w:tcW w:w="364" w:type="pct"/>
            <w:tcBorders>
              <w:top w:val="single" w:color="auto" w:sz="4" w:space="0"/>
              <w:left w:val="nil"/>
              <w:bottom w:val="single" w:color="auto" w:sz="4" w:space="0"/>
              <w:right w:val="single" w:color="auto" w:sz="4" w:space="0"/>
            </w:tcBorders>
            <w:shd w:val="clear" w:color="auto" w:fill="auto"/>
            <w:vAlign w:val="center"/>
          </w:tcPr>
          <w:p w14:paraId="5702B334">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r>
      <w:tr w14:paraId="221B2F19">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210C86A4">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78961618">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30DA92BA">
            <w:pPr>
              <w:widowControl/>
              <w:snapToGrid w:val="0"/>
              <w:jc w:val="center"/>
              <w:rPr>
                <w:rFonts w:hint="eastAsia" w:ascii="宋体" w:hAnsi="宋体" w:eastAsia="宋体" w:cs="宋体"/>
                <w:color w:val="000000"/>
                <w:kern w:val="0"/>
                <w:sz w:val="18"/>
                <w:szCs w:val="20"/>
              </w:rPr>
            </w:pPr>
          </w:p>
        </w:tc>
        <w:tc>
          <w:tcPr>
            <w:tcW w:w="1594" w:type="pct"/>
            <w:tcBorders>
              <w:top w:val="nil"/>
              <w:left w:val="nil"/>
              <w:bottom w:val="single" w:color="auto" w:sz="4" w:space="0"/>
              <w:right w:val="single" w:color="auto" w:sz="4" w:space="0"/>
            </w:tcBorders>
            <w:shd w:val="clear" w:color="auto" w:fill="auto"/>
            <w:vAlign w:val="center"/>
          </w:tcPr>
          <w:p w14:paraId="4C3BB4B9">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产出质量：</w:t>
            </w:r>
          </w:p>
        </w:tc>
        <w:tc>
          <w:tcPr>
            <w:tcW w:w="843" w:type="pct"/>
            <w:tcBorders>
              <w:top w:val="nil"/>
              <w:left w:val="nil"/>
              <w:bottom w:val="single" w:color="auto" w:sz="4" w:space="0"/>
              <w:right w:val="single" w:color="auto" w:sz="4" w:space="0"/>
            </w:tcBorders>
            <w:shd w:val="clear" w:color="auto" w:fill="auto"/>
            <w:vAlign w:val="center"/>
          </w:tcPr>
          <w:p w14:paraId="2990FE2A">
            <w:pPr>
              <w:widowControl/>
              <w:snapToGrid w:val="0"/>
              <w:jc w:val="center"/>
              <w:rPr>
                <w:rFonts w:hint="eastAsia" w:ascii="宋体" w:hAnsi="宋体" w:eastAsia="宋体" w:cs="宋体"/>
                <w:color w:val="000000"/>
                <w:kern w:val="0"/>
                <w:sz w:val="18"/>
                <w:szCs w:val="20"/>
              </w:rPr>
            </w:pPr>
          </w:p>
        </w:tc>
        <w:tc>
          <w:tcPr>
            <w:tcW w:w="392" w:type="pct"/>
            <w:tcBorders>
              <w:top w:val="nil"/>
              <w:left w:val="nil"/>
              <w:bottom w:val="single" w:color="auto" w:sz="4" w:space="0"/>
              <w:right w:val="single" w:color="auto" w:sz="4" w:space="0"/>
            </w:tcBorders>
            <w:shd w:val="clear" w:color="auto" w:fill="auto"/>
            <w:vAlign w:val="center"/>
          </w:tcPr>
          <w:p w14:paraId="3A736CBF">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c>
          <w:tcPr>
            <w:tcW w:w="364" w:type="pct"/>
            <w:tcBorders>
              <w:top w:val="nil"/>
              <w:left w:val="nil"/>
              <w:bottom w:val="single" w:color="auto" w:sz="4" w:space="0"/>
              <w:right w:val="single" w:color="auto" w:sz="4" w:space="0"/>
            </w:tcBorders>
            <w:shd w:val="clear" w:color="auto" w:fill="auto"/>
            <w:vAlign w:val="center"/>
          </w:tcPr>
          <w:p w14:paraId="791FACE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r>
      <w:tr w14:paraId="4E91C980">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07EAA0FC">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4F2EA14A">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4AEE6122">
            <w:pPr>
              <w:widowControl/>
              <w:snapToGrid w:val="0"/>
              <w:jc w:val="center"/>
              <w:rPr>
                <w:rFonts w:hint="eastAsia" w:ascii="宋体" w:hAnsi="宋体" w:eastAsia="宋体" w:cs="宋体"/>
                <w:color w:val="000000"/>
                <w:kern w:val="0"/>
                <w:sz w:val="18"/>
                <w:szCs w:val="20"/>
              </w:rPr>
            </w:pPr>
          </w:p>
        </w:tc>
        <w:tc>
          <w:tcPr>
            <w:tcW w:w="1594" w:type="pct"/>
            <w:tcBorders>
              <w:top w:val="nil"/>
              <w:left w:val="nil"/>
              <w:bottom w:val="single" w:color="auto" w:sz="4" w:space="0"/>
              <w:right w:val="single" w:color="auto" w:sz="4" w:space="0"/>
            </w:tcBorders>
            <w:shd w:val="clear" w:color="auto" w:fill="auto"/>
            <w:vAlign w:val="center"/>
          </w:tcPr>
          <w:p w14:paraId="3611399B">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产出进度：</w:t>
            </w:r>
          </w:p>
        </w:tc>
        <w:tc>
          <w:tcPr>
            <w:tcW w:w="843" w:type="pct"/>
            <w:tcBorders>
              <w:top w:val="nil"/>
              <w:left w:val="nil"/>
              <w:bottom w:val="single" w:color="auto" w:sz="4" w:space="0"/>
              <w:right w:val="single" w:color="auto" w:sz="4" w:space="0"/>
            </w:tcBorders>
            <w:shd w:val="clear" w:color="auto" w:fill="auto"/>
            <w:vAlign w:val="center"/>
          </w:tcPr>
          <w:p w14:paraId="4DDBCA7F">
            <w:pPr>
              <w:widowControl/>
              <w:snapToGrid w:val="0"/>
              <w:jc w:val="center"/>
              <w:rPr>
                <w:rFonts w:hint="eastAsia" w:ascii="宋体" w:hAnsi="宋体" w:eastAsia="宋体" w:cs="宋体"/>
                <w:color w:val="000000"/>
                <w:kern w:val="0"/>
                <w:sz w:val="18"/>
                <w:szCs w:val="20"/>
              </w:rPr>
            </w:pPr>
          </w:p>
        </w:tc>
        <w:tc>
          <w:tcPr>
            <w:tcW w:w="392" w:type="pct"/>
            <w:tcBorders>
              <w:top w:val="nil"/>
              <w:left w:val="nil"/>
              <w:bottom w:val="single" w:color="auto" w:sz="4" w:space="0"/>
              <w:right w:val="single" w:color="auto" w:sz="4" w:space="0"/>
            </w:tcBorders>
            <w:shd w:val="clear" w:color="auto" w:fill="auto"/>
            <w:vAlign w:val="center"/>
          </w:tcPr>
          <w:p w14:paraId="03F44627">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c>
          <w:tcPr>
            <w:tcW w:w="364" w:type="pct"/>
            <w:tcBorders>
              <w:top w:val="nil"/>
              <w:left w:val="nil"/>
              <w:bottom w:val="single" w:color="auto" w:sz="4" w:space="0"/>
              <w:right w:val="single" w:color="auto" w:sz="4" w:space="0"/>
            </w:tcBorders>
            <w:shd w:val="clear" w:color="auto" w:fill="auto"/>
            <w:vAlign w:val="center"/>
          </w:tcPr>
          <w:p w14:paraId="4D33FBBE">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r>
      <w:tr w14:paraId="1906C265">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49EC0FBD">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00249025">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15BA7DB0">
            <w:pPr>
              <w:widowControl/>
              <w:snapToGrid w:val="0"/>
              <w:jc w:val="center"/>
              <w:rPr>
                <w:rFonts w:hint="eastAsia" w:ascii="宋体" w:hAnsi="宋体" w:eastAsia="宋体" w:cs="宋体"/>
                <w:color w:val="000000"/>
                <w:kern w:val="0"/>
                <w:sz w:val="18"/>
                <w:szCs w:val="20"/>
              </w:rPr>
            </w:pPr>
          </w:p>
        </w:tc>
        <w:tc>
          <w:tcPr>
            <w:tcW w:w="1594" w:type="pct"/>
            <w:tcBorders>
              <w:top w:val="nil"/>
              <w:left w:val="nil"/>
              <w:bottom w:val="single" w:color="auto" w:sz="4" w:space="0"/>
              <w:right w:val="single" w:color="auto" w:sz="4" w:space="0"/>
            </w:tcBorders>
            <w:shd w:val="clear" w:color="auto" w:fill="auto"/>
            <w:vAlign w:val="center"/>
          </w:tcPr>
          <w:p w14:paraId="2E747CCA">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产出成本：</w:t>
            </w:r>
          </w:p>
        </w:tc>
        <w:tc>
          <w:tcPr>
            <w:tcW w:w="843" w:type="pct"/>
            <w:tcBorders>
              <w:top w:val="nil"/>
              <w:left w:val="nil"/>
              <w:bottom w:val="single" w:color="auto" w:sz="4" w:space="0"/>
              <w:right w:val="single" w:color="auto" w:sz="4" w:space="0"/>
            </w:tcBorders>
            <w:shd w:val="clear" w:color="auto" w:fill="auto"/>
            <w:vAlign w:val="center"/>
          </w:tcPr>
          <w:p w14:paraId="45E42DE7">
            <w:pPr>
              <w:widowControl/>
              <w:snapToGrid w:val="0"/>
              <w:jc w:val="center"/>
              <w:rPr>
                <w:rFonts w:hint="eastAsia" w:ascii="宋体" w:hAnsi="宋体" w:eastAsia="宋体" w:cs="宋体"/>
                <w:color w:val="000000"/>
                <w:kern w:val="0"/>
                <w:sz w:val="18"/>
                <w:szCs w:val="20"/>
              </w:rPr>
            </w:pPr>
          </w:p>
        </w:tc>
        <w:tc>
          <w:tcPr>
            <w:tcW w:w="392" w:type="pct"/>
            <w:tcBorders>
              <w:top w:val="nil"/>
              <w:left w:val="nil"/>
              <w:bottom w:val="single" w:color="auto" w:sz="4" w:space="0"/>
              <w:right w:val="single" w:color="auto" w:sz="4" w:space="0"/>
            </w:tcBorders>
            <w:shd w:val="clear" w:color="auto" w:fill="auto"/>
            <w:vAlign w:val="center"/>
          </w:tcPr>
          <w:p w14:paraId="5DC1BEC6">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c>
          <w:tcPr>
            <w:tcW w:w="364" w:type="pct"/>
            <w:tcBorders>
              <w:top w:val="nil"/>
              <w:left w:val="nil"/>
              <w:bottom w:val="single" w:color="auto" w:sz="4" w:space="0"/>
              <w:right w:val="single" w:color="auto" w:sz="4" w:space="0"/>
            </w:tcBorders>
            <w:shd w:val="clear" w:color="auto" w:fill="auto"/>
            <w:vAlign w:val="center"/>
          </w:tcPr>
          <w:p w14:paraId="6CC0932F">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5</w:t>
            </w:r>
          </w:p>
        </w:tc>
      </w:tr>
      <w:tr w14:paraId="6152C698">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35C60F4">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7A003652">
            <w:pPr>
              <w:widowControl/>
              <w:snapToGrid w:val="0"/>
              <w:jc w:val="center"/>
              <w:rPr>
                <w:rFonts w:hint="eastAsia" w:ascii="宋体" w:hAnsi="宋体" w:eastAsia="宋体" w:cs="宋体"/>
                <w:color w:val="000000"/>
                <w:kern w:val="0"/>
                <w:sz w:val="18"/>
                <w:szCs w:val="20"/>
              </w:rPr>
            </w:pPr>
          </w:p>
        </w:tc>
        <w:tc>
          <w:tcPr>
            <w:tcW w:w="604" w:type="pct"/>
            <w:vMerge w:val="restart"/>
            <w:tcBorders>
              <w:top w:val="nil"/>
              <w:left w:val="single" w:color="auto" w:sz="4" w:space="0"/>
              <w:bottom w:val="single" w:color="auto" w:sz="4" w:space="0"/>
              <w:right w:val="single" w:color="auto" w:sz="4" w:space="0"/>
            </w:tcBorders>
            <w:shd w:val="clear" w:color="auto" w:fill="auto"/>
            <w:vAlign w:val="center"/>
          </w:tcPr>
          <w:p w14:paraId="7530E524">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重点项目</w:t>
            </w:r>
          </w:p>
        </w:tc>
        <w:tc>
          <w:tcPr>
            <w:tcW w:w="1594" w:type="pct"/>
            <w:vMerge w:val="restart"/>
            <w:tcBorders>
              <w:top w:val="nil"/>
              <w:left w:val="single" w:color="auto" w:sz="4" w:space="0"/>
              <w:bottom w:val="single" w:color="auto" w:sz="4" w:space="0"/>
              <w:right w:val="single" w:color="auto" w:sz="4" w:space="0"/>
            </w:tcBorders>
            <w:shd w:val="clear" w:color="auto" w:fill="auto"/>
            <w:vAlign w:val="center"/>
          </w:tcPr>
          <w:p w14:paraId="6FD391EF">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产出数量：</w:t>
            </w:r>
          </w:p>
        </w:tc>
        <w:tc>
          <w:tcPr>
            <w:tcW w:w="843" w:type="pct"/>
            <w:vMerge w:val="restart"/>
            <w:tcBorders>
              <w:top w:val="nil"/>
              <w:left w:val="single" w:color="auto" w:sz="4" w:space="0"/>
              <w:bottom w:val="single" w:color="auto" w:sz="4" w:space="0"/>
              <w:right w:val="single" w:color="auto" w:sz="4" w:space="0"/>
            </w:tcBorders>
            <w:shd w:val="clear" w:color="auto" w:fill="auto"/>
            <w:vAlign w:val="center"/>
          </w:tcPr>
          <w:p w14:paraId="22926168">
            <w:pPr>
              <w:widowControl/>
              <w:snapToGrid w:val="0"/>
              <w:jc w:val="center"/>
              <w:rPr>
                <w:rFonts w:hint="eastAsia" w:ascii="宋体" w:hAnsi="宋体" w:eastAsia="宋体" w:cs="宋体"/>
                <w:color w:val="000000"/>
                <w:kern w:val="0"/>
                <w:sz w:val="18"/>
                <w:szCs w:val="20"/>
              </w:rPr>
            </w:pP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64AF95B1">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3F0E8902">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r>
      <w:tr w14:paraId="0A79AE56">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F998ED5">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01096483">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6061B4FA">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1F68CE4A">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12BEA84E">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374B6D63">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63B03984">
            <w:pPr>
              <w:widowControl/>
              <w:snapToGrid w:val="0"/>
              <w:jc w:val="center"/>
              <w:rPr>
                <w:rFonts w:hint="eastAsia" w:ascii="宋体" w:hAnsi="宋体" w:eastAsia="宋体" w:cs="宋体"/>
                <w:color w:val="000000"/>
                <w:kern w:val="0"/>
                <w:sz w:val="18"/>
                <w:szCs w:val="20"/>
              </w:rPr>
            </w:pPr>
          </w:p>
        </w:tc>
      </w:tr>
      <w:tr w14:paraId="4AF87722">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921E178">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23D3BCB2">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0CFAB522">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0903A33C">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6B99EC04">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0B0050A4">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2622485F">
            <w:pPr>
              <w:widowControl/>
              <w:snapToGrid w:val="0"/>
              <w:jc w:val="center"/>
              <w:rPr>
                <w:rFonts w:hint="eastAsia" w:ascii="宋体" w:hAnsi="宋体" w:eastAsia="宋体" w:cs="宋体"/>
                <w:color w:val="000000"/>
                <w:kern w:val="0"/>
                <w:sz w:val="18"/>
                <w:szCs w:val="20"/>
              </w:rPr>
            </w:pPr>
          </w:p>
        </w:tc>
      </w:tr>
      <w:tr w14:paraId="5F8E2265">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8FF1ECE">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2E4D9B4E">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724BCA56">
            <w:pPr>
              <w:widowControl/>
              <w:snapToGrid w:val="0"/>
              <w:jc w:val="center"/>
              <w:rPr>
                <w:rFonts w:hint="eastAsia" w:ascii="宋体" w:hAnsi="宋体" w:eastAsia="宋体" w:cs="宋体"/>
                <w:color w:val="000000"/>
                <w:kern w:val="0"/>
                <w:sz w:val="18"/>
                <w:szCs w:val="20"/>
              </w:rPr>
            </w:pPr>
          </w:p>
        </w:tc>
        <w:tc>
          <w:tcPr>
            <w:tcW w:w="1594" w:type="pct"/>
            <w:vMerge w:val="restart"/>
            <w:tcBorders>
              <w:top w:val="nil"/>
              <w:left w:val="single" w:color="auto" w:sz="4" w:space="0"/>
              <w:bottom w:val="single" w:color="auto" w:sz="4" w:space="0"/>
              <w:right w:val="single" w:color="auto" w:sz="4" w:space="0"/>
            </w:tcBorders>
            <w:shd w:val="clear" w:color="auto" w:fill="auto"/>
            <w:vAlign w:val="center"/>
          </w:tcPr>
          <w:p w14:paraId="609E3EA0">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产出质量：</w:t>
            </w:r>
          </w:p>
        </w:tc>
        <w:tc>
          <w:tcPr>
            <w:tcW w:w="843" w:type="pct"/>
            <w:vMerge w:val="restart"/>
            <w:tcBorders>
              <w:top w:val="nil"/>
              <w:left w:val="single" w:color="auto" w:sz="4" w:space="0"/>
              <w:bottom w:val="single" w:color="auto" w:sz="4" w:space="0"/>
              <w:right w:val="single" w:color="auto" w:sz="4" w:space="0"/>
            </w:tcBorders>
            <w:shd w:val="clear" w:color="auto" w:fill="auto"/>
            <w:vAlign w:val="center"/>
          </w:tcPr>
          <w:p w14:paraId="31D563DB">
            <w:pPr>
              <w:widowControl/>
              <w:snapToGrid w:val="0"/>
              <w:jc w:val="center"/>
              <w:rPr>
                <w:rFonts w:hint="eastAsia" w:ascii="宋体" w:hAnsi="宋体" w:eastAsia="宋体" w:cs="宋体"/>
                <w:color w:val="000000"/>
                <w:kern w:val="0"/>
                <w:sz w:val="18"/>
                <w:szCs w:val="20"/>
              </w:rPr>
            </w:pP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62649954">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485B2460">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r>
      <w:tr w14:paraId="7AE9F7C2">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6ACA75B3">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74123B47">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7A78F851">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0DDB406D">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2F4358F6">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45B89428">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5518A49D">
            <w:pPr>
              <w:widowControl/>
              <w:snapToGrid w:val="0"/>
              <w:jc w:val="center"/>
              <w:rPr>
                <w:rFonts w:hint="eastAsia" w:ascii="宋体" w:hAnsi="宋体" w:eastAsia="宋体" w:cs="宋体"/>
                <w:color w:val="000000"/>
                <w:kern w:val="0"/>
                <w:sz w:val="18"/>
                <w:szCs w:val="20"/>
              </w:rPr>
            </w:pPr>
          </w:p>
        </w:tc>
      </w:tr>
      <w:tr w14:paraId="1551748E">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CD2BBD8">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3B7D3CBD">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4E8FEE75">
            <w:pPr>
              <w:widowControl/>
              <w:snapToGrid w:val="0"/>
              <w:jc w:val="center"/>
              <w:rPr>
                <w:rFonts w:hint="eastAsia" w:ascii="宋体" w:hAnsi="宋体" w:eastAsia="宋体" w:cs="宋体"/>
                <w:color w:val="000000"/>
                <w:kern w:val="0"/>
                <w:sz w:val="18"/>
                <w:szCs w:val="20"/>
              </w:rPr>
            </w:pPr>
          </w:p>
        </w:tc>
        <w:tc>
          <w:tcPr>
            <w:tcW w:w="1594" w:type="pct"/>
            <w:vMerge w:val="restart"/>
            <w:tcBorders>
              <w:top w:val="nil"/>
              <w:left w:val="single" w:color="auto" w:sz="4" w:space="0"/>
              <w:bottom w:val="single" w:color="auto" w:sz="4" w:space="0"/>
              <w:right w:val="single" w:color="auto" w:sz="4" w:space="0"/>
            </w:tcBorders>
            <w:shd w:val="clear" w:color="auto" w:fill="auto"/>
            <w:vAlign w:val="center"/>
          </w:tcPr>
          <w:p w14:paraId="02BBE981">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产出进度：</w:t>
            </w:r>
          </w:p>
        </w:tc>
        <w:tc>
          <w:tcPr>
            <w:tcW w:w="843" w:type="pct"/>
            <w:vMerge w:val="restart"/>
            <w:tcBorders>
              <w:top w:val="nil"/>
              <w:left w:val="single" w:color="auto" w:sz="4" w:space="0"/>
              <w:bottom w:val="single" w:color="auto" w:sz="4" w:space="0"/>
              <w:right w:val="single" w:color="auto" w:sz="4" w:space="0"/>
            </w:tcBorders>
            <w:shd w:val="clear" w:color="auto" w:fill="auto"/>
            <w:vAlign w:val="center"/>
          </w:tcPr>
          <w:p w14:paraId="7DF9BC06">
            <w:pPr>
              <w:widowControl/>
              <w:snapToGrid w:val="0"/>
              <w:jc w:val="center"/>
              <w:rPr>
                <w:rFonts w:hint="eastAsia" w:ascii="宋体" w:hAnsi="宋体" w:eastAsia="宋体" w:cs="宋体"/>
                <w:color w:val="000000"/>
                <w:kern w:val="0"/>
                <w:sz w:val="18"/>
                <w:szCs w:val="20"/>
              </w:rPr>
            </w:pP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70AF1AEE">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08A90AD6">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w:t>
            </w:r>
          </w:p>
        </w:tc>
      </w:tr>
      <w:tr w14:paraId="58E56EF4">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0F131DE">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7012FA05">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230E9312">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012CD9C2">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30AA8E24">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1A1BCA6E">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3731AAA7">
            <w:pPr>
              <w:widowControl/>
              <w:snapToGrid w:val="0"/>
              <w:jc w:val="center"/>
              <w:rPr>
                <w:rFonts w:hint="eastAsia" w:ascii="宋体" w:hAnsi="宋体" w:eastAsia="宋体" w:cs="宋体"/>
                <w:color w:val="000000"/>
                <w:kern w:val="0"/>
                <w:sz w:val="18"/>
                <w:szCs w:val="20"/>
              </w:rPr>
            </w:pPr>
          </w:p>
        </w:tc>
      </w:tr>
      <w:tr w14:paraId="1EAA2596">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4DE67BF">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133EF3D0">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711C3BEA">
            <w:pPr>
              <w:widowControl/>
              <w:snapToGrid w:val="0"/>
              <w:jc w:val="center"/>
              <w:rPr>
                <w:rFonts w:hint="eastAsia" w:ascii="宋体" w:hAnsi="宋体" w:eastAsia="宋体" w:cs="宋体"/>
                <w:color w:val="000000"/>
                <w:kern w:val="0"/>
                <w:sz w:val="18"/>
                <w:szCs w:val="20"/>
              </w:rPr>
            </w:pPr>
          </w:p>
        </w:tc>
        <w:tc>
          <w:tcPr>
            <w:tcW w:w="1594" w:type="pct"/>
            <w:vMerge w:val="restart"/>
            <w:tcBorders>
              <w:top w:val="nil"/>
              <w:left w:val="single" w:color="auto" w:sz="4" w:space="0"/>
              <w:bottom w:val="single" w:color="auto" w:sz="4" w:space="0"/>
              <w:right w:val="single" w:color="auto" w:sz="4" w:space="0"/>
            </w:tcBorders>
            <w:shd w:val="clear" w:color="auto" w:fill="auto"/>
            <w:vAlign w:val="center"/>
          </w:tcPr>
          <w:p w14:paraId="6333798A">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产出成本：</w:t>
            </w:r>
          </w:p>
        </w:tc>
        <w:tc>
          <w:tcPr>
            <w:tcW w:w="843" w:type="pct"/>
            <w:vMerge w:val="restart"/>
            <w:tcBorders>
              <w:top w:val="nil"/>
              <w:left w:val="single" w:color="auto" w:sz="4" w:space="0"/>
              <w:bottom w:val="single" w:color="auto" w:sz="4" w:space="0"/>
              <w:right w:val="single" w:color="auto" w:sz="4" w:space="0"/>
            </w:tcBorders>
            <w:shd w:val="clear" w:color="auto" w:fill="auto"/>
            <w:vAlign w:val="center"/>
          </w:tcPr>
          <w:p w14:paraId="48CA94F3">
            <w:pPr>
              <w:widowControl/>
              <w:snapToGrid w:val="0"/>
              <w:jc w:val="center"/>
              <w:rPr>
                <w:rFonts w:hint="eastAsia" w:ascii="宋体" w:hAnsi="宋体" w:eastAsia="宋体" w:cs="宋体"/>
                <w:color w:val="000000"/>
                <w:kern w:val="0"/>
                <w:sz w:val="18"/>
                <w:szCs w:val="20"/>
              </w:rPr>
            </w:pP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1EC104BF">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6DDFDE63">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2.5</w:t>
            </w:r>
          </w:p>
        </w:tc>
      </w:tr>
      <w:tr w14:paraId="654BEBEB">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0070BDFE">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00356C3B">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1C85B455">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5063D5E3">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211151F7">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308224CF">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0BCAD5E5">
            <w:pPr>
              <w:widowControl/>
              <w:snapToGrid w:val="0"/>
              <w:jc w:val="center"/>
              <w:rPr>
                <w:rFonts w:hint="eastAsia" w:ascii="宋体" w:hAnsi="宋体" w:eastAsia="宋体" w:cs="宋体"/>
                <w:color w:val="000000"/>
                <w:kern w:val="0"/>
                <w:sz w:val="18"/>
                <w:szCs w:val="20"/>
              </w:rPr>
            </w:pPr>
          </w:p>
        </w:tc>
      </w:tr>
      <w:tr w14:paraId="0F00678C">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2CA67D53">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0A22A2A9">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6DC6E823">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auto" w:sz="4" w:space="0"/>
              <w:right w:val="single" w:color="auto" w:sz="4" w:space="0"/>
            </w:tcBorders>
            <w:vAlign w:val="center"/>
          </w:tcPr>
          <w:p w14:paraId="02C47025">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450EDE6F">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66781B7F">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28C3B972">
            <w:pPr>
              <w:widowControl/>
              <w:snapToGrid w:val="0"/>
              <w:jc w:val="center"/>
              <w:rPr>
                <w:rFonts w:hint="eastAsia" w:ascii="宋体" w:hAnsi="宋体" w:eastAsia="宋体" w:cs="宋体"/>
                <w:color w:val="000000"/>
                <w:kern w:val="0"/>
                <w:sz w:val="18"/>
                <w:szCs w:val="20"/>
              </w:rPr>
            </w:pPr>
          </w:p>
        </w:tc>
      </w:tr>
      <w:tr w14:paraId="31188F53">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1D91313D">
            <w:pPr>
              <w:widowControl/>
              <w:snapToGrid w:val="0"/>
              <w:jc w:val="center"/>
              <w:rPr>
                <w:rFonts w:hint="eastAsia" w:ascii="宋体" w:hAnsi="宋体" w:eastAsia="宋体" w:cs="宋体"/>
                <w:color w:val="000000"/>
                <w:kern w:val="0"/>
                <w:sz w:val="18"/>
                <w:szCs w:val="20"/>
              </w:rPr>
            </w:pPr>
          </w:p>
        </w:tc>
        <w:tc>
          <w:tcPr>
            <w:tcW w:w="571" w:type="pct"/>
            <w:vMerge w:val="restart"/>
            <w:tcBorders>
              <w:top w:val="nil"/>
              <w:left w:val="single" w:color="auto" w:sz="4" w:space="0"/>
              <w:bottom w:val="single" w:color="auto" w:sz="4" w:space="0"/>
              <w:right w:val="single" w:color="auto" w:sz="4" w:space="0"/>
            </w:tcBorders>
            <w:shd w:val="clear" w:color="auto" w:fill="auto"/>
            <w:vAlign w:val="center"/>
          </w:tcPr>
          <w:p w14:paraId="661AC0A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效果（30）</w:t>
            </w:r>
          </w:p>
        </w:tc>
        <w:tc>
          <w:tcPr>
            <w:tcW w:w="604" w:type="pct"/>
            <w:vMerge w:val="restart"/>
            <w:tcBorders>
              <w:top w:val="nil"/>
              <w:left w:val="single" w:color="auto" w:sz="4" w:space="0"/>
              <w:bottom w:val="single" w:color="auto" w:sz="4" w:space="0"/>
              <w:right w:val="single" w:color="auto" w:sz="4" w:space="0"/>
            </w:tcBorders>
            <w:shd w:val="clear" w:color="auto" w:fill="auto"/>
            <w:vAlign w:val="center"/>
          </w:tcPr>
          <w:p w14:paraId="2B5DE285">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社会效益：</w:t>
            </w:r>
          </w:p>
        </w:tc>
        <w:tc>
          <w:tcPr>
            <w:tcW w:w="1594" w:type="pct"/>
            <w:vMerge w:val="restart"/>
            <w:tcBorders>
              <w:top w:val="nil"/>
              <w:left w:val="single" w:color="auto" w:sz="4" w:space="0"/>
              <w:bottom w:val="single" w:color="000000" w:sz="4" w:space="0"/>
              <w:right w:val="single" w:color="auto" w:sz="4" w:space="0"/>
            </w:tcBorders>
            <w:shd w:val="clear" w:color="auto" w:fill="auto"/>
            <w:vAlign w:val="center"/>
          </w:tcPr>
          <w:p w14:paraId="4BC7DAF6">
            <w:pPr>
              <w:widowControl/>
              <w:snapToGrid w:val="0"/>
              <w:jc w:val="center"/>
              <w:rPr>
                <w:rFonts w:hint="eastAsia" w:ascii="宋体" w:hAnsi="宋体" w:eastAsia="宋体" w:cs="宋体"/>
                <w:color w:val="000000"/>
                <w:kern w:val="0"/>
                <w:sz w:val="18"/>
                <w:szCs w:val="20"/>
              </w:rPr>
            </w:pPr>
          </w:p>
        </w:tc>
        <w:tc>
          <w:tcPr>
            <w:tcW w:w="843" w:type="pct"/>
            <w:vMerge w:val="restart"/>
            <w:tcBorders>
              <w:top w:val="nil"/>
              <w:left w:val="single" w:color="auto" w:sz="4" w:space="0"/>
              <w:bottom w:val="single" w:color="000000" w:sz="4" w:space="0"/>
              <w:right w:val="single" w:color="auto" w:sz="4" w:space="0"/>
            </w:tcBorders>
            <w:shd w:val="clear" w:color="auto" w:fill="auto"/>
            <w:vAlign w:val="center"/>
          </w:tcPr>
          <w:p w14:paraId="4D27F69E">
            <w:pPr>
              <w:widowControl/>
              <w:snapToGrid w:val="0"/>
              <w:jc w:val="center"/>
              <w:rPr>
                <w:rFonts w:hint="eastAsia" w:ascii="宋体" w:hAnsi="宋体" w:eastAsia="宋体" w:cs="宋体"/>
                <w:color w:val="000000"/>
                <w:kern w:val="0"/>
                <w:sz w:val="18"/>
                <w:szCs w:val="20"/>
              </w:rPr>
            </w:pPr>
          </w:p>
        </w:tc>
        <w:tc>
          <w:tcPr>
            <w:tcW w:w="392" w:type="pct"/>
            <w:vMerge w:val="restart"/>
            <w:tcBorders>
              <w:top w:val="nil"/>
              <w:left w:val="single" w:color="auto" w:sz="4" w:space="0"/>
              <w:bottom w:val="single" w:color="000000" w:sz="4" w:space="0"/>
              <w:right w:val="single" w:color="auto" w:sz="4" w:space="0"/>
            </w:tcBorders>
            <w:shd w:val="clear" w:color="auto" w:fill="auto"/>
            <w:vAlign w:val="center"/>
          </w:tcPr>
          <w:p w14:paraId="112CF0C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10</w:t>
            </w:r>
          </w:p>
        </w:tc>
        <w:tc>
          <w:tcPr>
            <w:tcW w:w="364" w:type="pct"/>
            <w:vMerge w:val="restart"/>
            <w:tcBorders>
              <w:top w:val="nil"/>
              <w:left w:val="single" w:color="auto" w:sz="4" w:space="0"/>
              <w:bottom w:val="single" w:color="000000" w:sz="4" w:space="0"/>
              <w:right w:val="single" w:color="auto" w:sz="4" w:space="0"/>
            </w:tcBorders>
            <w:shd w:val="clear" w:color="auto" w:fill="auto"/>
            <w:vAlign w:val="center"/>
          </w:tcPr>
          <w:p w14:paraId="041DD2EB">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8</w:t>
            </w:r>
          </w:p>
        </w:tc>
      </w:tr>
      <w:tr w14:paraId="5375D9C7">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163F3A12">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12A392FE">
            <w:pPr>
              <w:widowControl/>
              <w:snapToGrid w:val="0"/>
              <w:jc w:val="center"/>
              <w:rPr>
                <w:rFonts w:hint="eastAsia" w:ascii="宋体" w:hAnsi="宋体" w:eastAsia="宋体" w:cs="宋体"/>
                <w:color w:val="000000"/>
                <w:kern w:val="0"/>
                <w:sz w:val="18"/>
                <w:szCs w:val="20"/>
              </w:rPr>
            </w:pPr>
          </w:p>
        </w:tc>
        <w:tc>
          <w:tcPr>
            <w:tcW w:w="604" w:type="pct"/>
            <w:vMerge w:val="continue"/>
            <w:tcBorders>
              <w:top w:val="nil"/>
              <w:left w:val="single" w:color="auto" w:sz="4" w:space="0"/>
              <w:bottom w:val="single" w:color="auto" w:sz="4" w:space="0"/>
              <w:right w:val="single" w:color="auto" w:sz="4" w:space="0"/>
            </w:tcBorders>
            <w:vAlign w:val="center"/>
          </w:tcPr>
          <w:p w14:paraId="284AD492">
            <w:pPr>
              <w:widowControl/>
              <w:snapToGrid w:val="0"/>
              <w:jc w:val="center"/>
              <w:rPr>
                <w:rFonts w:hint="eastAsia" w:ascii="宋体" w:hAnsi="宋体" w:eastAsia="宋体" w:cs="宋体"/>
                <w:color w:val="000000"/>
                <w:kern w:val="0"/>
                <w:sz w:val="18"/>
                <w:szCs w:val="20"/>
              </w:rPr>
            </w:pPr>
          </w:p>
        </w:tc>
        <w:tc>
          <w:tcPr>
            <w:tcW w:w="1594" w:type="pct"/>
            <w:vMerge w:val="continue"/>
            <w:tcBorders>
              <w:top w:val="nil"/>
              <w:left w:val="single" w:color="auto" w:sz="4" w:space="0"/>
              <w:bottom w:val="single" w:color="000000" w:sz="4" w:space="0"/>
              <w:right w:val="single" w:color="auto" w:sz="4" w:space="0"/>
            </w:tcBorders>
            <w:vAlign w:val="center"/>
          </w:tcPr>
          <w:p w14:paraId="59C9A4A7">
            <w:pPr>
              <w:widowControl/>
              <w:snapToGrid w:val="0"/>
              <w:jc w:val="center"/>
              <w:rPr>
                <w:rFonts w:hint="eastAsia" w:ascii="宋体" w:hAnsi="宋体" w:eastAsia="宋体" w:cs="宋体"/>
                <w:color w:val="000000"/>
                <w:kern w:val="0"/>
                <w:sz w:val="18"/>
                <w:szCs w:val="20"/>
              </w:rPr>
            </w:pPr>
          </w:p>
        </w:tc>
        <w:tc>
          <w:tcPr>
            <w:tcW w:w="843" w:type="pct"/>
            <w:vMerge w:val="continue"/>
            <w:tcBorders>
              <w:top w:val="nil"/>
              <w:left w:val="single" w:color="auto" w:sz="4" w:space="0"/>
              <w:bottom w:val="single" w:color="000000" w:sz="4" w:space="0"/>
              <w:right w:val="single" w:color="auto" w:sz="4" w:space="0"/>
            </w:tcBorders>
            <w:vAlign w:val="center"/>
          </w:tcPr>
          <w:p w14:paraId="27BE7CAD">
            <w:pPr>
              <w:widowControl/>
              <w:snapToGrid w:val="0"/>
              <w:jc w:val="center"/>
              <w:rPr>
                <w:rFonts w:hint="eastAsia" w:ascii="宋体" w:hAnsi="宋体" w:eastAsia="宋体" w:cs="宋体"/>
                <w:color w:val="000000"/>
                <w:kern w:val="0"/>
                <w:sz w:val="18"/>
                <w:szCs w:val="20"/>
              </w:rPr>
            </w:pPr>
          </w:p>
        </w:tc>
        <w:tc>
          <w:tcPr>
            <w:tcW w:w="392" w:type="pct"/>
            <w:vMerge w:val="continue"/>
            <w:tcBorders>
              <w:top w:val="nil"/>
              <w:left w:val="single" w:color="auto" w:sz="4" w:space="0"/>
              <w:bottom w:val="single" w:color="000000" w:sz="4" w:space="0"/>
              <w:right w:val="single" w:color="auto" w:sz="4" w:space="0"/>
            </w:tcBorders>
            <w:vAlign w:val="center"/>
          </w:tcPr>
          <w:p w14:paraId="51C1C2CD">
            <w:pPr>
              <w:widowControl/>
              <w:snapToGrid w:val="0"/>
              <w:jc w:val="center"/>
              <w:rPr>
                <w:rFonts w:hint="eastAsia" w:ascii="宋体" w:hAnsi="宋体" w:eastAsia="宋体" w:cs="宋体"/>
                <w:color w:val="000000"/>
                <w:kern w:val="0"/>
                <w:sz w:val="18"/>
                <w:szCs w:val="20"/>
              </w:rPr>
            </w:pPr>
          </w:p>
        </w:tc>
        <w:tc>
          <w:tcPr>
            <w:tcW w:w="364" w:type="pct"/>
            <w:vMerge w:val="continue"/>
            <w:tcBorders>
              <w:top w:val="nil"/>
              <w:left w:val="single" w:color="auto" w:sz="4" w:space="0"/>
              <w:bottom w:val="single" w:color="000000" w:sz="4" w:space="0"/>
              <w:right w:val="single" w:color="auto" w:sz="4" w:space="0"/>
            </w:tcBorders>
            <w:vAlign w:val="center"/>
          </w:tcPr>
          <w:p w14:paraId="115B1708">
            <w:pPr>
              <w:widowControl/>
              <w:snapToGrid w:val="0"/>
              <w:jc w:val="center"/>
              <w:rPr>
                <w:rFonts w:hint="eastAsia" w:ascii="宋体" w:hAnsi="宋体" w:eastAsia="宋体" w:cs="宋体"/>
                <w:color w:val="000000"/>
                <w:kern w:val="0"/>
                <w:sz w:val="18"/>
                <w:szCs w:val="20"/>
              </w:rPr>
            </w:pPr>
          </w:p>
        </w:tc>
      </w:tr>
      <w:tr w14:paraId="2D0BA141">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6B307AB0">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3DDF9225">
            <w:pPr>
              <w:widowControl/>
              <w:snapToGrid w:val="0"/>
              <w:jc w:val="center"/>
              <w:rPr>
                <w:rFonts w:hint="eastAsia" w:ascii="宋体" w:hAnsi="宋体" w:eastAsia="宋体" w:cs="宋体"/>
                <w:color w:val="000000"/>
                <w:kern w:val="0"/>
                <w:sz w:val="18"/>
                <w:szCs w:val="20"/>
              </w:rPr>
            </w:pPr>
          </w:p>
        </w:tc>
        <w:tc>
          <w:tcPr>
            <w:tcW w:w="604" w:type="pct"/>
            <w:tcBorders>
              <w:top w:val="nil"/>
              <w:left w:val="nil"/>
              <w:bottom w:val="single" w:color="auto" w:sz="4" w:space="0"/>
              <w:right w:val="single" w:color="auto" w:sz="4" w:space="0"/>
            </w:tcBorders>
            <w:shd w:val="clear" w:color="auto" w:fill="auto"/>
            <w:vAlign w:val="center"/>
          </w:tcPr>
          <w:p w14:paraId="44F677F9">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可持续性影响：</w:t>
            </w:r>
          </w:p>
        </w:tc>
        <w:tc>
          <w:tcPr>
            <w:tcW w:w="1594" w:type="pct"/>
            <w:tcBorders>
              <w:top w:val="nil"/>
              <w:left w:val="nil"/>
              <w:bottom w:val="single" w:color="auto" w:sz="4" w:space="0"/>
              <w:right w:val="single" w:color="auto" w:sz="4" w:space="0"/>
            </w:tcBorders>
            <w:shd w:val="clear" w:color="auto" w:fill="auto"/>
            <w:vAlign w:val="center"/>
          </w:tcPr>
          <w:p w14:paraId="3E655FD4">
            <w:pPr>
              <w:widowControl/>
              <w:snapToGrid w:val="0"/>
              <w:jc w:val="center"/>
              <w:rPr>
                <w:rFonts w:hint="eastAsia" w:ascii="宋体" w:hAnsi="宋体" w:eastAsia="宋体" w:cs="宋体"/>
                <w:color w:val="000000"/>
                <w:kern w:val="0"/>
                <w:sz w:val="18"/>
                <w:szCs w:val="20"/>
              </w:rPr>
            </w:pPr>
          </w:p>
        </w:tc>
        <w:tc>
          <w:tcPr>
            <w:tcW w:w="843" w:type="pct"/>
            <w:tcBorders>
              <w:top w:val="nil"/>
              <w:left w:val="nil"/>
              <w:bottom w:val="single" w:color="auto" w:sz="4" w:space="0"/>
              <w:right w:val="single" w:color="auto" w:sz="4" w:space="0"/>
            </w:tcBorders>
            <w:shd w:val="clear" w:color="auto" w:fill="auto"/>
            <w:vAlign w:val="center"/>
          </w:tcPr>
          <w:p w14:paraId="521A0FB9">
            <w:pPr>
              <w:widowControl/>
              <w:snapToGrid w:val="0"/>
              <w:jc w:val="center"/>
              <w:rPr>
                <w:rFonts w:hint="eastAsia" w:ascii="宋体" w:hAnsi="宋体" w:eastAsia="宋体" w:cs="宋体"/>
                <w:color w:val="000000"/>
                <w:kern w:val="0"/>
                <w:sz w:val="18"/>
                <w:szCs w:val="20"/>
              </w:rPr>
            </w:pPr>
          </w:p>
        </w:tc>
        <w:tc>
          <w:tcPr>
            <w:tcW w:w="392" w:type="pct"/>
            <w:tcBorders>
              <w:top w:val="nil"/>
              <w:left w:val="nil"/>
              <w:bottom w:val="single" w:color="auto" w:sz="4" w:space="0"/>
              <w:right w:val="single" w:color="auto" w:sz="4" w:space="0"/>
            </w:tcBorders>
            <w:shd w:val="clear" w:color="auto" w:fill="auto"/>
            <w:vAlign w:val="center"/>
          </w:tcPr>
          <w:p w14:paraId="4CD9FF87">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10</w:t>
            </w:r>
          </w:p>
        </w:tc>
        <w:tc>
          <w:tcPr>
            <w:tcW w:w="364" w:type="pct"/>
            <w:tcBorders>
              <w:top w:val="nil"/>
              <w:left w:val="nil"/>
              <w:bottom w:val="single" w:color="auto" w:sz="4" w:space="0"/>
              <w:right w:val="single" w:color="auto" w:sz="4" w:space="0"/>
            </w:tcBorders>
            <w:shd w:val="clear" w:color="auto" w:fill="auto"/>
            <w:vAlign w:val="center"/>
          </w:tcPr>
          <w:p w14:paraId="622CB748">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9</w:t>
            </w:r>
          </w:p>
        </w:tc>
      </w:tr>
      <w:tr w14:paraId="10F85447">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23611FB">
            <w:pPr>
              <w:widowControl/>
              <w:snapToGrid w:val="0"/>
              <w:jc w:val="center"/>
              <w:rPr>
                <w:rFonts w:hint="eastAsia" w:ascii="宋体" w:hAnsi="宋体" w:eastAsia="宋体" w:cs="宋体"/>
                <w:color w:val="000000"/>
                <w:kern w:val="0"/>
                <w:sz w:val="18"/>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5F5C9C14">
            <w:pPr>
              <w:widowControl/>
              <w:snapToGrid w:val="0"/>
              <w:jc w:val="center"/>
              <w:rPr>
                <w:rFonts w:hint="eastAsia" w:ascii="宋体" w:hAnsi="宋体" w:eastAsia="宋体" w:cs="宋体"/>
                <w:color w:val="000000"/>
                <w:kern w:val="0"/>
                <w:sz w:val="18"/>
                <w:szCs w:val="20"/>
              </w:rPr>
            </w:pPr>
          </w:p>
        </w:tc>
        <w:tc>
          <w:tcPr>
            <w:tcW w:w="604" w:type="pct"/>
            <w:tcBorders>
              <w:top w:val="nil"/>
              <w:left w:val="nil"/>
              <w:bottom w:val="single" w:color="auto" w:sz="4" w:space="0"/>
              <w:right w:val="single" w:color="auto" w:sz="4" w:space="0"/>
            </w:tcBorders>
            <w:shd w:val="clear" w:color="auto" w:fill="auto"/>
            <w:vAlign w:val="center"/>
          </w:tcPr>
          <w:p w14:paraId="7EDC998E">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服务对象满意度：</w:t>
            </w:r>
          </w:p>
        </w:tc>
        <w:tc>
          <w:tcPr>
            <w:tcW w:w="1594" w:type="pct"/>
            <w:tcBorders>
              <w:top w:val="nil"/>
              <w:left w:val="nil"/>
              <w:bottom w:val="single" w:color="auto" w:sz="4" w:space="0"/>
              <w:right w:val="single" w:color="auto" w:sz="4" w:space="0"/>
            </w:tcBorders>
            <w:shd w:val="clear" w:color="auto" w:fill="auto"/>
            <w:vAlign w:val="center"/>
          </w:tcPr>
          <w:p w14:paraId="6FFBEB2C">
            <w:pPr>
              <w:widowControl/>
              <w:snapToGrid w:val="0"/>
              <w:jc w:val="center"/>
              <w:rPr>
                <w:rFonts w:hint="eastAsia" w:ascii="宋体" w:hAnsi="宋体" w:eastAsia="宋体" w:cs="宋体"/>
                <w:color w:val="000000"/>
                <w:kern w:val="0"/>
                <w:sz w:val="18"/>
                <w:szCs w:val="20"/>
              </w:rPr>
            </w:pPr>
          </w:p>
        </w:tc>
        <w:tc>
          <w:tcPr>
            <w:tcW w:w="843" w:type="pct"/>
            <w:tcBorders>
              <w:top w:val="nil"/>
              <w:left w:val="nil"/>
              <w:bottom w:val="single" w:color="auto" w:sz="4" w:space="0"/>
              <w:right w:val="single" w:color="auto" w:sz="4" w:space="0"/>
            </w:tcBorders>
            <w:shd w:val="clear" w:color="auto" w:fill="auto"/>
            <w:vAlign w:val="center"/>
          </w:tcPr>
          <w:p w14:paraId="2E79EA4D">
            <w:pPr>
              <w:widowControl/>
              <w:snapToGrid w:val="0"/>
              <w:jc w:val="center"/>
              <w:rPr>
                <w:rFonts w:hint="eastAsia" w:ascii="宋体" w:hAnsi="宋体" w:eastAsia="宋体" w:cs="宋体"/>
                <w:color w:val="000000"/>
                <w:kern w:val="0"/>
                <w:sz w:val="18"/>
                <w:szCs w:val="20"/>
              </w:rPr>
            </w:pPr>
          </w:p>
        </w:tc>
        <w:tc>
          <w:tcPr>
            <w:tcW w:w="392" w:type="pct"/>
            <w:tcBorders>
              <w:top w:val="nil"/>
              <w:left w:val="nil"/>
              <w:bottom w:val="single" w:color="auto" w:sz="4" w:space="0"/>
              <w:right w:val="single" w:color="auto" w:sz="4" w:space="0"/>
            </w:tcBorders>
            <w:shd w:val="clear" w:color="auto" w:fill="auto"/>
            <w:vAlign w:val="center"/>
          </w:tcPr>
          <w:p w14:paraId="161E546E">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10</w:t>
            </w:r>
          </w:p>
        </w:tc>
        <w:tc>
          <w:tcPr>
            <w:tcW w:w="364" w:type="pct"/>
            <w:tcBorders>
              <w:top w:val="nil"/>
              <w:left w:val="nil"/>
              <w:bottom w:val="single" w:color="auto" w:sz="4" w:space="0"/>
              <w:right w:val="single" w:color="auto" w:sz="4" w:space="0"/>
            </w:tcBorders>
            <w:shd w:val="clear" w:color="auto" w:fill="auto"/>
            <w:vAlign w:val="center"/>
          </w:tcPr>
          <w:p w14:paraId="2499CC3D">
            <w:pPr>
              <w:widowControl/>
              <w:snapToGrid w:val="0"/>
              <w:jc w:val="center"/>
              <w:rPr>
                <w:rFonts w:hint="eastAsia" w:ascii="宋体" w:hAnsi="宋体" w:eastAsia="宋体" w:cs="宋体"/>
                <w:color w:val="000000"/>
                <w:kern w:val="0"/>
                <w:sz w:val="18"/>
                <w:szCs w:val="20"/>
              </w:rPr>
            </w:pPr>
            <w:r>
              <w:rPr>
                <w:rFonts w:hint="eastAsia" w:ascii="宋体" w:hAnsi="宋体" w:eastAsia="宋体" w:cs="宋体"/>
                <w:color w:val="000000"/>
                <w:kern w:val="0"/>
                <w:sz w:val="18"/>
                <w:szCs w:val="20"/>
              </w:rPr>
              <w:t>8</w:t>
            </w:r>
          </w:p>
        </w:tc>
      </w:tr>
      <w:tr w14:paraId="7E300B23">
        <w:tblPrEx>
          <w:tblCellMar>
            <w:top w:w="32" w:type="dxa"/>
            <w:left w:w="64" w:type="dxa"/>
            <w:bottom w:w="32" w:type="dxa"/>
            <w:right w:w="64" w:type="dxa"/>
          </w:tblCellMar>
        </w:tblPrEx>
        <w:trPr>
          <w:trHeight w:val="0" w:hRule="atLeast"/>
          <w:jc w:val="cent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21C5D5BA">
            <w:pPr>
              <w:widowControl/>
              <w:snapToGrid w:val="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三、</w:t>
            </w:r>
            <w:r>
              <w:rPr>
                <w:rFonts w:hint="eastAsia" w:ascii="宋体" w:hAnsi="宋体" w:eastAsia="宋体" w:cs="宋体"/>
                <w:b/>
                <w:bCs/>
                <w:color w:val="000000"/>
                <w:kern w:val="0"/>
                <w:sz w:val="20"/>
                <w:szCs w:val="20"/>
              </w:rPr>
              <w:t>预算管理情况（20分）</w:t>
            </w:r>
          </w:p>
        </w:tc>
      </w:tr>
      <w:tr w14:paraId="5E8ED518">
        <w:tblPrEx>
          <w:tblCellMar>
            <w:top w:w="32" w:type="dxa"/>
            <w:left w:w="64" w:type="dxa"/>
            <w:bottom w:w="32" w:type="dxa"/>
            <w:right w:w="64" w:type="dxa"/>
          </w:tblCellMar>
        </w:tblPrEx>
        <w:trPr>
          <w:trHeight w:val="0" w:hRule="atLeast"/>
          <w:jc w:val="center"/>
        </w:trPr>
        <w:tc>
          <w:tcPr>
            <w:tcW w:w="629" w:type="pct"/>
            <w:tcBorders>
              <w:top w:val="nil"/>
              <w:left w:val="single" w:color="auto" w:sz="4" w:space="0"/>
              <w:bottom w:val="single" w:color="auto" w:sz="4" w:space="0"/>
              <w:right w:val="single" w:color="auto" w:sz="4" w:space="0"/>
            </w:tcBorders>
            <w:shd w:val="clear" w:color="auto" w:fill="auto"/>
            <w:vAlign w:val="center"/>
          </w:tcPr>
          <w:p w14:paraId="14283CF2">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一级指标</w:t>
            </w:r>
          </w:p>
        </w:tc>
        <w:tc>
          <w:tcPr>
            <w:tcW w:w="571" w:type="pct"/>
            <w:tcBorders>
              <w:top w:val="nil"/>
              <w:left w:val="nil"/>
              <w:bottom w:val="single" w:color="auto" w:sz="4" w:space="0"/>
              <w:right w:val="single" w:color="auto" w:sz="4" w:space="0"/>
            </w:tcBorders>
            <w:shd w:val="clear" w:color="auto" w:fill="auto"/>
            <w:vAlign w:val="center"/>
          </w:tcPr>
          <w:p w14:paraId="66B6D3DF">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二级指标</w:t>
            </w:r>
          </w:p>
        </w:tc>
        <w:tc>
          <w:tcPr>
            <w:tcW w:w="604" w:type="pct"/>
            <w:tcBorders>
              <w:top w:val="nil"/>
              <w:left w:val="nil"/>
              <w:bottom w:val="single" w:color="auto" w:sz="4" w:space="0"/>
              <w:right w:val="single" w:color="auto" w:sz="4" w:space="0"/>
            </w:tcBorders>
            <w:shd w:val="clear" w:color="auto" w:fill="auto"/>
            <w:vAlign w:val="center"/>
          </w:tcPr>
          <w:p w14:paraId="0EEB088D">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1594" w:type="pct"/>
            <w:tcBorders>
              <w:top w:val="nil"/>
              <w:left w:val="nil"/>
              <w:bottom w:val="single" w:color="auto" w:sz="4" w:space="0"/>
              <w:right w:val="single" w:color="auto" w:sz="4" w:space="0"/>
            </w:tcBorders>
            <w:shd w:val="clear" w:color="auto" w:fill="auto"/>
            <w:vAlign w:val="center"/>
          </w:tcPr>
          <w:p w14:paraId="69B3CA55">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843" w:type="pct"/>
            <w:tcBorders>
              <w:top w:val="nil"/>
              <w:left w:val="nil"/>
              <w:bottom w:val="single" w:color="auto" w:sz="4" w:space="0"/>
              <w:right w:val="single" w:color="auto" w:sz="4" w:space="0"/>
            </w:tcBorders>
            <w:shd w:val="clear" w:color="auto" w:fill="auto"/>
            <w:vAlign w:val="center"/>
          </w:tcPr>
          <w:p w14:paraId="3166192A">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完成值</w:t>
            </w:r>
          </w:p>
        </w:tc>
        <w:tc>
          <w:tcPr>
            <w:tcW w:w="392" w:type="pct"/>
            <w:tcBorders>
              <w:top w:val="nil"/>
              <w:left w:val="nil"/>
              <w:bottom w:val="single" w:color="auto" w:sz="4" w:space="0"/>
              <w:right w:val="single" w:color="auto" w:sz="4" w:space="0"/>
            </w:tcBorders>
            <w:shd w:val="clear" w:color="auto" w:fill="auto"/>
            <w:vAlign w:val="center"/>
          </w:tcPr>
          <w:p w14:paraId="34E02485">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364" w:type="pct"/>
            <w:tcBorders>
              <w:top w:val="nil"/>
              <w:left w:val="nil"/>
              <w:bottom w:val="single" w:color="auto" w:sz="4" w:space="0"/>
              <w:right w:val="single" w:color="auto" w:sz="4" w:space="0"/>
            </w:tcBorders>
            <w:shd w:val="clear" w:color="auto" w:fill="auto"/>
            <w:vAlign w:val="center"/>
          </w:tcPr>
          <w:p w14:paraId="15E5C801">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14:paraId="1C778E9C">
        <w:tblPrEx>
          <w:tblCellMar>
            <w:top w:w="32" w:type="dxa"/>
            <w:left w:w="64" w:type="dxa"/>
            <w:bottom w:w="32" w:type="dxa"/>
            <w:right w:w="64" w:type="dxa"/>
          </w:tblCellMar>
        </w:tblPrEx>
        <w:trPr>
          <w:trHeight w:val="0" w:hRule="atLeast"/>
          <w:jc w:val="center"/>
        </w:trPr>
        <w:tc>
          <w:tcPr>
            <w:tcW w:w="629" w:type="pct"/>
            <w:vMerge w:val="restart"/>
            <w:tcBorders>
              <w:top w:val="nil"/>
              <w:left w:val="single" w:color="auto" w:sz="4" w:space="0"/>
              <w:bottom w:val="single" w:color="auto" w:sz="4" w:space="0"/>
              <w:right w:val="single" w:color="auto" w:sz="4" w:space="0"/>
            </w:tcBorders>
            <w:shd w:val="clear" w:color="auto" w:fill="auto"/>
            <w:vAlign w:val="center"/>
          </w:tcPr>
          <w:p w14:paraId="2891D835">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预算管理情况（20）</w:t>
            </w:r>
          </w:p>
        </w:tc>
        <w:tc>
          <w:tcPr>
            <w:tcW w:w="571" w:type="pct"/>
            <w:vMerge w:val="restart"/>
            <w:tcBorders>
              <w:top w:val="nil"/>
              <w:left w:val="single" w:color="auto" w:sz="4" w:space="0"/>
              <w:bottom w:val="single" w:color="auto" w:sz="4" w:space="0"/>
              <w:right w:val="single" w:color="auto" w:sz="4" w:space="0"/>
            </w:tcBorders>
            <w:shd w:val="clear" w:color="auto" w:fill="auto"/>
            <w:vAlign w:val="center"/>
          </w:tcPr>
          <w:p w14:paraId="7E201E99">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财务管理（4）</w:t>
            </w:r>
          </w:p>
        </w:tc>
        <w:tc>
          <w:tcPr>
            <w:tcW w:w="604" w:type="pct"/>
            <w:tcBorders>
              <w:top w:val="nil"/>
              <w:left w:val="nil"/>
              <w:bottom w:val="single" w:color="auto" w:sz="4" w:space="0"/>
              <w:right w:val="single" w:color="auto" w:sz="4" w:space="0"/>
            </w:tcBorders>
            <w:shd w:val="clear" w:color="auto" w:fill="auto"/>
            <w:vAlign w:val="center"/>
          </w:tcPr>
          <w:p w14:paraId="3142E060">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财务管理制度健全性</w:t>
            </w:r>
          </w:p>
        </w:tc>
        <w:tc>
          <w:tcPr>
            <w:tcW w:w="1594" w:type="pct"/>
            <w:tcBorders>
              <w:top w:val="nil"/>
              <w:left w:val="nil"/>
              <w:bottom w:val="single" w:color="auto" w:sz="4" w:space="0"/>
              <w:right w:val="single" w:color="auto" w:sz="4" w:space="0"/>
            </w:tcBorders>
            <w:shd w:val="clear" w:color="auto" w:fill="auto"/>
            <w:vAlign w:val="center"/>
          </w:tcPr>
          <w:p w14:paraId="6DA68209">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财务管理制度建立健全、完整</w:t>
            </w:r>
          </w:p>
        </w:tc>
        <w:tc>
          <w:tcPr>
            <w:tcW w:w="843" w:type="pct"/>
            <w:tcBorders>
              <w:top w:val="nil"/>
              <w:left w:val="nil"/>
              <w:bottom w:val="single" w:color="auto" w:sz="4" w:space="0"/>
              <w:right w:val="single" w:color="auto" w:sz="4" w:space="0"/>
            </w:tcBorders>
            <w:shd w:val="clear" w:color="auto" w:fill="auto"/>
            <w:vAlign w:val="center"/>
          </w:tcPr>
          <w:p w14:paraId="27D79832">
            <w:pPr>
              <w:widowControl/>
              <w:snapToGrid w:val="0"/>
              <w:jc w:val="center"/>
              <w:rPr>
                <w:rFonts w:hint="eastAsia" w:ascii="宋体" w:hAnsi="宋体" w:eastAsia="宋体" w:cs="宋体"/>
                <w:color w:val="000000"/>
                <w:kern w:val="0"/>
                <w:sz w:val="20"/>
                <w:szCs w:val="20"/>
              </w:rPr>
            </w:pPr>
          </w:p>
        </w:tc>
        <w:tc>
          <w:tcPr>
            <w:tcW w:w="392" w:type="pct"/>
            <w:tcBorders>
              <w:top w:val="nil"/>
              <w:left w:val="nil"/>
              <w:bottom w:val="single" w:color="auto" w:sz="4" w:space="0"/>
              <w:right w:val="single" w:color="auto" w:sz="4" w:space="0"/>
            </w:tcBorders>
            <w:shd w:val="clear" w:color="auto" w:fill="auto"/>
            <w:vAlign w:val="center"/>
          </w:tcPr>
          <w:p w14:paraId="14F672A2">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364" w:type="pct"/>
            <w:tcBorders>
              <w:top w:val="nil"/>
              <w:left w:val="nil"/>
              <w:bottom w:val="single" w:color="auto" w:sz="4" w:space="0"/>
              <w:right w:val="single" w:color="auto" w:sz="4" w:space="0"/>
            </w:tcBorders>
            <w:shd w:val="clear" w:color="auto" w:fill="auto"/>
            <w:vAlign w:val="center"/>
          </w:tcPr>
          <w:p w14:paraId="4D987ABB">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0.8</w:t>
            </w:r>
          </w:p>
        </w:tc>
      </w:tr>
      <w:tr w14:paraId="7C7DAC6D">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31A6ABCC">
            <w:pPr>
              <w:widowControl/>
              <w:snapToGrid w:val="0"/>
              <w:jc w:val="center"/>
              <w:rPr>
                <w:rFonts w:hint="eastAsia" w:ascii="宋体" w:hAnsi="宋体" w:eastAsia="宋体" w:cs="宋体"/>
                <w:b/>
                <w:color w:val="000000"/>
                <w:kern w:val="0"/>
                <w:sz w:val="20"/>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621982A1">
            <w:pPr>
              <w:widowControl/>
              <w:snapToGrid w:val="0"/>
              <w:jc w:val="center"/>
              <w:rPr>
                <w:rFonts w:hint="eastAsia" w:ascii="宋体" w:hAnsi="宋体" w:eastAsia="宋体" w:cs="宋体"/>
                <w:b/>
                <w:color w:val="000000"/>
                <w:kern w:val="0"/>
                <w:sz w:val="20"/>
                <w:szCs w:val="20"/>
              </w:rPr>
            </w:pPr>
          </w:p>
        </w:tc>
        <w:tc>
          <w:tcPr>
            <w:tcW w:w="604" w:type="pct"/>
            <w:tcBorders>
              <w:top w:val="nil"/>
              <w:left w:val="nil"/>
              <w:bottom w:val="single" w:color="auto" w:sz="4" w:space="0"/>
              <w:right w:val="single" w:color="auto" w:sz="4" w:space="0"/>
            </w:tcBorders>
            <w:shd w:val="clear" w:color="auto" w:fill="auto"/>
            <w:vAlign w:val="center"/>
          </w:tcPr>
          <w:p w14:paraId="07B54C4F">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资金使用合规性和安全性</w:t>
            </w:r>
          </w:p>
        </w:tc>
        <w:tc>
          <w:tcPr>
            <w:tcW w:w="1594" w:type="pct"/>
            <w:tcBorders>
              <w:top w:val="nil"/>
              <w:left w:val="nil"/>
              <w:bottom w:val="single" w:color="auto" w:sz="4" w:space="0"/>
              <w:right w:val="single" w:color="auto" w:sz="4" w:space="0"/>
            </w:tcBorders>
            <w:shd w:val="clear" w:color="auto" w:fill="auto"/>
            <w:vAlign w:val="center"/>
          </w:tcPr>
          <w:p w14:paraId="513D22CD">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使用预算资金符合相关的预算财务管理制度的规定，符合相关规定的开支范围</w:t>
            </w:r>
          </w:p>
        </w:tc>
        <w:tc>
          <w:tcPr>
            <w:tcW w:w="843" w:type="pct"/>
            <w:tcBorders>
              <w:top w:val="nil"/>
              <w:left w:val="nil"/>
              <w:bottom w:val="single" w:color="auto" w:sz="4" w:space="0"/>
              <w:right w:val="single" w:color="auto" w:sz="4" w:space="0"/>
            </w:tcBorders>
            <w:shd w:val="clear" w:color="auto" w:fill="auto"/>
            <w:vAlign w:val="center"/>
          </w:tcPr>
          <w:p w14:paraId="316D03D7">
            <w:pPr>
              <w:widowControl/>
              <w:snapToGrid w:val="0"/>
              <w:jc w:val="center"/>
              <w:rPr>
                <w:rFonts w:hint="eastAsia" w:ascii="宋体" w:hAnsi="宋体" w:eastAsia="宋体" w:cs="宋体"/>
                <w:b/>
                <w:color w:val="000000"/>
                <w:kern w:val="0"/>
                <w:sz w:val="20"/>
                <w:szCs w:val="20"/>
              </w:rPr>
            </w:pPr>
          </w:p>
        </w:tc>
        <w:tc>
          <w:tcPr>
            <w:tcW w:w="392" w:type="pct"/>
            <w:tcBorders>
              <w:top w:val="nil"/>
              <w:left w:val="nil"/>
              <w:bottom w:val="single" w:color="auto" w:sz="4" w:space="0"/>
              <w:right w:val="single" w:color="auto" w:sz="4" w:space="0"/>
            </w:tcBorders>
            <w:shd w:val="clear" w:color="auto" w:fill="auto"/>
            <w:vAlign w:val="center"/>
          </w:tcPr>
          <w:p w14:paraId="3E392220">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2</w:t>
            </w:r>
          </w:p>
        </w:tc>
        <w:tc>
          <w:tcPr>
            <w:tcW w:w="364" w:type="pct"/>
            <w:tcBorders>
              <w:top w:val="nil"/>
              <w:left w:val="nil"/>
              <w:bottom w:val="single" w:color="auto" w:sz="4" w:space="0"/>
              <w:right w:val="single" w:color="auto" w:sz="4" w:space="0"/>
            </w:tcBorders>
            <w:shd w:val="clear" w:color="auto" w:fill="auto"/>
            <w:vAlign w:val="center"/>
          </w:tcPr>
          <w:p w14:paraId="30DF095B">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2</w:t>
            </w:r>
          </w:p>
        </w:tc>
      </w:tr>
      <w:tr w14:paraId="543F802F">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C4CC3B6">
            <w:pPr>
              <w:widowControl/>
              <w:snapToGrid w:val="0"/>
              <w:jc w:val="center"/>
              <w:rPr>
                <w:rFonts w:hint="eastAsia" w:ascii="宋体" w:hAnsi="宋体" w:eastAsia="宋体" w:cs="宋体"/>
                <w:color w:val="000000"/>
                <w:kern w:val="0"/>
                <w:sz w:val="20"/>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27FD0F89">
            <w:pPr>
              <w:widowControl/>
              <w:snapToGrid w:val="0"/>
              <w:jc w:val="center"/>
              <w:rPr>
                <w:rFonts w:hint="eastAsia" w:ascii="宋体" w:hAnsi="宋体" w:eastAsia="宋体" w:cs="宋体"/>
                <w:color w:val="000000"/>
                <w:kern w:val="0"/>
                <w:sz w:val="20"/>
                <w:szCs w:val="20"/>
              </w:rPr>
            </w:pPr>
          </w:p>
        </w:tc>
        <w:tc>
          <w:tcPr>
            <w:tcW w:w="604" w:type="pct"/>
            <w:tcBorders>
              <w:top w:val="nil"/>
              <w:left w:val="nil"/>
              <w:bottom w:val="single" w:color="auto" w:sz="4" w:space="0"/>
              <w:right w:val="single" w:color="auto" w:sz="4" w:space="0"/>
            </w:tcBorders>
            <w:shd w:val="clear" w:color="auto" w:fill="auto"/>
            <w:vAlign w:val="center"/>
          </w:tcPr>
          <w:p w14:paraId="3249BC55">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会计基础信息完善性</w:t>
            </w:r>
          </w:p>
        </w:tc>
        <w:tc>
          <w:tcPr>
            <w:tcW w:w="1594" w:type="pct"/>
            <w:tcBorders>
              <w:top w:val="nil"/>
              <w:left w:val="nil"/>
              <w:bottom w:val="single" w:color="auto" w:sz="4" w:space="0"/>
              <w:right w:val="single" w:color="auto" w:sz="4" w:space="0"/>
            </w:tcBorders>
            <w:shd w:val="clear" w:color="auto" w:fill="auto"/>
            <w:vAlign w:val="center"/>
          </w:tcPr>
          <w:p w14:paraId="51CAE03F">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会计基础信息资料的真实、完整、准确</w:t>
            </w:r>
          </w:p>
        </w:tc>
        <w:tc>
          <w:tcPr>
            <w:tcW w:w="843" w:type="pct"/>
            <w:tcBorders>
              <w:top w:val="nil"/>
              <w:left w:val="nil"/>
              <w:bottom w:val="single" w:color="auto" w:sz="4" w:space="0"/>
              <w:right w:val="single" w:color="auto" w:sz="4" w:space="0"/>
            </w:tcBorders>
            <w:shd w:val="clear" w:color="auto" w:fill="auto"/>
            <w:vAlign w:val="center"/>
          </w:tcPr>
          <w:p w14:paraId="6F09A2C8">
            <w:pPr>
              <w:widowControl/>
              <w:snapToGrid w:val="0"/>
              <w:jc w:val="center"/>
              <w:rPr>
                <w:rFonts w:hint="eastAsia" w:ascii="宋体" w:hAnsi="宋体" w:eastAsia="宋体" w:cs="宋体"/>
                <w:color w:val="000000"/>
                <w:kern w:val="0"/>
                <w:sz w:val="20"/>
                <w:szCs w:val="20"/>
              </w:rPr>
            </w:pPr>
          </w:p>
        </w:tc>
        <w:tc>
          <w:tcPr>
            <w:tcW w:w="392" w:type="pct"/>
            <w:tcBorders>
              <w:top w:val="nil"/>
              <w:left w:val="nil"/>
              <w:bottom w:val="single" w:color="auto" w:sz="4" w:space="0"/>
              <w:right w:val="single" w:color="auto" w:sz="4" w:space="0"/>
            </w:tcBorders>
            <w:shd w:val="clear" w:color="auto" w:fill="auto"/>
            <w:vAlign w:val="center"/>
          </w:tcPr>
          <w:p w14:paraId="5FB6C0F3">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364" w:type="pct"/>
            <w:tcBorders>
              <w:top w:val="nil"/>
              <w:left w:val="nil"/>
              <w:bottom w:val="single" w:color="auto" w:sz="4" w:space="0"/>
              <w:right w:val="single" w:color="auto" w:sz="4" w:space="0"/>
            </w:tcBorders>
            <w:shd w:val="clear" w:color="auto" w:fill="auto"/>
            <w:vAlign w:val="center"/>
          </w:tcPr>
          <w:p w14:paraId="01151282">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r>
      <w:tr w14:paraId="0D362D78">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23257909">
            <w:pPr>
              <w:widowControl/>
              <w:snapToGrid w:val="0"/>
              <w:jc w:val="center"/>
              <w:rPr>
                <w:rFonts w:hint="eastAsia" w:ascii="宋体" w:hAnsi="宋体" w:eastAsia="宋体" w:cs="宋体"/>
                <w:color w:val="000000"/>
                <w:kern w:val="0"/>
                <w:sz w:val="20"/>
                <w:szCs w:val="20"/>
              </w:rPr>
            </w:pPr>
          </w:p>
        </w:tc>
        <w:tc>
          <w:tcPr>
            <w:tcW w:w="571" w:type="pct"/>
            <w:tcBorders>
              <w:top w:val="nil"/>
              <w:left w:val="nil"/>
              <w:bottom w:val="single" w:color="auto" w:sz="4" w:space="0"/>
              <w:right w:val="single" w:color="auto" w:sz="4" w:space="0"/>
            </w:tcBorders>
            <w:shd w:val="clear" w:color="auto" w:fill="auto"/>
            <w:vAlign w:val="center"/>
          </w:tcPr>
          <w:p w14:paraId="6FA103EA">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资产管理（4）</w:t>
            </w:r>
          </w:p>
        </w:tc>
        <w:tc>
          <w:tcPr>
            <w:tcW w:w="604" w:type="pct"/>
            <w:tcBorders>
              <w:top w:val="nil"/>
              <w:left w:val="nil"/>
              <w:bottom w:val="single" w:color="auto" w:sz="4" w:space="0"/>
              <w:right w:val="single" w:color="auto" w:sz="4" w:space="0"/>
            </w:tcBorders>
            <w:shd w:val="clear" w:color="auto" w:fill="auto"/>
            <w:vAlign w:val="center"/>
          </w:tcPr>
          <w:p w14:paraId="0F202A50">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资产管理规范性</w:t>
            </w:r>
          </w:p>
        </w:tc>
        <w:tc>
          <w:tcPr>
            <w:tcW w:w="1594" w:type="pct"/>
            <w:tcBorders>
              <w:top w:val="nil"/>
              <w:left w:val="nil"/>
              <w:bottom w:val="single" w:color="auto" w:sz="4" w:space="0"/>
              <w:right w:val="single" w:color="auto" w:sz="4" w:space="0"/>
            </w:tcBorders>
            <w:shd w:val="clear" w:color="auto" w:fill="auto"/>
            <w:vAlign w:val="center"/>
          </w:tcPr>
          <w:p w14:paraId="6003EDBE">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资产的安全性、完整性、资产配置的合理性、资产使用和处置的规范性</w:t>
            </w:r>
          </w:p>
        </w:tc>
        <w:tc>
          <w:tcPr>
            <w:tcW w:w="843" w:type="pct"/>
            <w:tcBorders>
              <w:top w:val="nil"/>
              <w:left w:val="nil"/>
              <w:bottom w:val="single" w:color="auto" w:sz="4" w:space="0"/>
              <w:right w:val="single" w:color="auto" w:sz="4" w:space="0"/>
            </w:tcBorders>
            <w:shd w:val="clear" w:color="auto" w:fill="auto"/>
            <w:vAlign w:val="center"/>
          </w:tcPr>
          <w:p w14:paraId="11C47216">
            <w:pPr>
              <w:widowControl/>
              <w:snapToGrid w:val="0"/>
              <w:jc w:val="center"/>
              <w:rPr>
                <w:rFonts w:hint="eastAsia" w:ascii="宋体" w:hAnsi="宋体" w:eastAsia="宋体" w:cs="宋体"/>
                <w:color w:val="000000"/>
                <w:kern w:val="0"/>
                <w:sz w:val="20"/>
                <w:szCs w:val="20"/>
              </w:rPr>
            </w:pPr>
          </w:p>
        </w:tc>
        <w:tc>
          <w:tcPr>
            <w:tcW w:w="392" w:type="pct"/>
            <w:tcBorders>
              <w:top w:val="nil"/>
              <w:left w:val="nil"/>
              <w:bottom w:val="single" w:color="auto" w:sz="4" w:space="0"/>
              <w:right w:val="single" w:color="auto" w:sz="4" w:space="0"/>
            </w:tcBorders>
            <w:shd w:val="clear" w:color="auto" w:fill="auto"/>
            <w:vAlign w:val="center"/>
          </w:tcPr>
          <w:p w14:paraId="38596439">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364" w:type="pct"/>
            <w:tcBorders>
              <w:top w:val="nil"/>
              <w:left w:val="nil"/>
              <w:bottom w:val="single" w:color="auto" w:sz="4" w:space="0"/>
              <w:right w:val="single" w:color="auto" w:sz="4" w:space="0"/>
            </w:tcBorders>
            <w:shd w:val="clear" w:color="auto" w:fill="auto"/>
            <w:vAlign w:val="center"/>
          </w:tcPr>
          <w:p w14:paraId="5866BB51">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14:paraId="7BC165B6">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27AFDE0">
            <w:pPr>
              <w:widowControl/>
              <w:snapToGrid w:val="0"/>
              <w:jc w:val="center"/>
              <w:rPr>
                <w:rFonts w:hint="eastAsia" w:ascii="宋体" w:hAnsi="宋体" w:eastAsia="宋体" w:cs="宋体"/>
                <w:color w:val="000000"/>
                <w:kern w:val="0"/>
                <w:sz w:val="20"/>
                <w:szCs w:val="20"/>
              </w:rPr>
            </w:pPr>
          </w:p>
        </w:tc>
        <w:tc>
          <w:tcPr>
            <w:tcW w:w="571" w:type="pct"/>
            <w:tcBorders>
              <w:top w:val="nil"/>
              <w:left w:val="nil"/>
              <w:bottom w:val="single" w:color="auto" w:sz="4" w:space="0"/>
              <w:right w:val="single" w:color="auto" w:sz="4" w:space="0"/>
            </w:tcBorders>
            <w:shd w:val="clear" w:color="auto" w:fill="auto"/>
            <w:vAlign w:val="center"/>
          </w:tcPr>
          <w:p w14:paraId="736A7DCC">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绩效管理（4）</w:t>
            </w:r>
          </w:p>
        </w:tc>
        <w:tc>
          <w:tcPr>
            <w:tcW w:w="604" w:type="pct"/>
            <w:tcBorders>
              <w:top w:val="nil"/>
              <w:left w:val="nil"/>
              <w:bottom w:val="single" w:color="auto" w:sz="4" w:space="0"/>
              <w:right w:val="single" w:color="auto" w:sz="4" w:space="0"/>
            </w:tcBorders>
            <w:shd w:val="clear" w:color="auto" w:fill="auto"/>
            <w:vAlign w:val="center"/>
          </w:tcPr>
          <w:p w14:paraId="5768EC06">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绩效管理情况</w:t>
            </w:r>
          </w:p>
        </w:tc>
        <w:tc>
          <w:tcPr>
            <w:tcW w:w="1594" w:type="pct"/>
            <w:tcBorders>
              <w:top w:val="nil"/>
              <w:left w:val="nil"/>
              <w:bottom w:val="single" w:color="auto" w:sz="4" w:space="0"/>
              <w:right w:val="single" w:color="auto" w:sz="4" w:space="0"/>
            </w:tcBorders>
            <w:shd w:val="clear" w:color="auto" w:fill="auto"/>
            <w:vAlign w:val="center"/>
          </w:tcPr>
          <w:p w14:paraId="6F339830">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绩效信息收集、汇总分析及上报的及时性</w:t>
            </w:r>
          </w:p>
        </w:tc>
        <w:tc>
          <w:tcPr>
            <w:tcW w:w="843" w:type="pct"/>
            <w:tcBorders>
              <w:top w:val="nil"/>
              <w:left w:val="nil"/>
              <w:bottom w:val="single" w:color="auto" w:sz="4" w:space="0"/>
              <w:right w:val="single" w:color="auto" w:sz="4" w:space="0"/>
            </w:tcBorders>
            <w:shd w:val="clear" w:color="auto" w:fill="auto"/>
            <w:vAlign w:val="center"/>
          </w:tcPr>
          <w:p w14:paraId="29626CDD">
            <w:pPr>
              <w:widowControl/>
              <w:snapToGrid w:val="0"/>
              <w:jc w:val="center"/>
              <w:rPr>
                <w:rFonts w:hint="eastAsia" w:ascii="宋体" w:hAnsi="宋体" w:eastAsia="宋体" w:cs="宋体"/>
                <w:color w:val="000000"/>
                <w:kern w:val="0"/>
                <w:sz w:val="20"/>
                <w:szCs w:val="20"/>
              </w:rPr>
            </w:pPr>
          </w:p>
        </w:tc>
        <w:tc>
          <w:tcPr>
            <w:tcW w:w="392" w:type="pct"/>
            <w:tcBorders>
              <w:top w:val="nil"/>
              <w:left w:val="nil"/>
              <w:bottom w:val="single" w:color="auto" w:sz="4" w:space="0"/>
              <w:right w:val="single" w:color="auto" w:sz="4" w:space="0"/>
            </w:tcBorders>
            <w:shd w:val="clear" w:color="auto" w:fill="auto"/>
            <w:vAlign w:val="center"/>
          </w:tcPr>
          <w:p w14:paraId="3FF724D7">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364" w:type="pct"/>
            <w:tcBorders>
              <w:top w:val="nil"/>
              <w:left w:val="nil"/>
              <w:bottom w:val="single" w:color="auto" w:sz="4" w:space="0"/>
              <w:right w:val="single" w:color="auto" w:sz="4" w:space="0"/>
            </w:tcBorders>
            <w:shd w:val="clear" w:color="auto" w:fill="auto"/>
            <w:vAlign w:val="center"/>
          </w:tcPr>
          <w:p w14:paraId="074D1BAF">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14:paraId="359AAABC">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4567FFDC">
            <w:pPr>
              <w:widowControl/>
              <w:snapToGrid w:val="0"/>
              <w:jc w:val="center"/>
              <w:rPr>
                <w:rFonts w:hint="eastAsia" w:ascii="宋体" w:hAnsi="宋体" w:eastAsia="宋体" w:cs="宋体"/>
                <w:color w:val="000000"/>
                <w:kern w:val="0"/>
                <w:sz w:val="20"/>
                <w:szCs w:val="20"/>
              </w:rPr>
            </w:pPr>
          </w:p>
        </w:tc>
        <w:tc>
          <w:tcPr>
            <w:tcW w:w="571" w:type="pct"/>
            <w:tcBorders>
              <w:top w:val="nil"/>
              <w:left w:val="nil"/>
              <w:bottom w:val="single" w:color="auto" w:sz="4" w:space="0"/>
              <w:right w:val="single" w:color="auto" w:sz="4" w:space="0"/>
            </w:tcBorders>
            <w:shd w:val="clear" w:color="auto" w:fill="auto"/>
            <w:vAlign w:val="center"/>
          </w:tcPr>
          <w:p w14:paraId="41CF87CB">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指标</w:t>
            </w:r>
          </w:p>
        </w:tc>
        <w:tc>
          <w:tcPr>
            <w:tcW w:w="2198" w:type="pct"/>
            <w:gridSpan w:val="2"/>
            <w:tcBorders>
              <w:top w:val="single" w:color="auto" w:sz="4" w:space="0"/>
              <w:left w:val="nil"/>
              <w:bottom w:val="single" w:color="auto" w:sz="4" w:space="0"/>
              <w:right w:val="single" w:color="auto" w:sz="4" w:space="0"/>
            </w:tcBorders>
            <w:shd w:val="clear" w:color="auto" w:fill="auto"/>
            <w:vAlign w:val="center"/>
          </w:tcPr>
          <w:p w14:paraId="51994DAA">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2023年</w:t>
            </w:r>
          </w:p>
        </w:tc>
        <w:tc>
          <w:tcPr>
            <w:tcW w:w="843" w:type="pct"/>
            <w:tcBorders>
              <w:top w:val="nil"/>
              <w:left w:val="nil"/>
              <w:bottom w:val="single" w:color="auto" w:sz="4" w:space="0"/>
              <w:right w:val="single" w:color="auto" w:sz="4" w:space="0"/>
            </w:tcBorders>
            <w:shd w:val="clear" w:color="auto" w:fill="auto"/>
            <w:vAlign w:val="center"/>
          </w:tcPr>
          <w:p w14:paraId="01454136">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2024年</w:t>
            </w:r>
          </w:p>
        </w:tc>
        <w:tc>
          <w:tcPr>
            <w:tcW w:w="392" w:type="pct"/>
            <w:tcBorders>
              <w:top w:val="nil"/>
              <w:left w:val="nil"/>
              <w:bottom w:val="single" w:color="auto" w:sz="4" w:space="0"/>
              <w:right w:val="single" w:color="auto" w:sz="4" w:space="0"/>
            </w:tcBorders>
            <w:shd w:val="clear" w:color="auto" w:fill="auto"/>
            <w:vAlign w:val="center"/>
          </w:tcPr>
          <w:p w14:paraId="58E36EE9">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分值</w:t>
            </w:r>
          </w:p>
        </w:tc>
        <w:tc>
          <w:tcPr>
            <w:tcW w:w="364" w:type="pct"/>
            <w:tcBorders>
              <w:top w:val="nil"/>
              <w:left w:val="nil"/>
              <w:bottom w:val="single" w:color="auto" w:sz="4" w:space="0"/>
              <w:right w:val="single" w:color="auto" w:sz="4" w:space="0"/>
            </w:tcBorders>
            <w:shd w:val="clear" w:color="auto" w:fill="auto"/>
            <w:vAlign w:val="center"/>
          </w:tcPr>
          <w:p w14:paraId="2822C6A0">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得分</w:t>
            </w:r>
          </w:p>
        </w:tc>
      </w:tr>
      <w:tr w14:paraId="37A2A7D8">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0994B81B">
            <w:pPr>
              <w:widowControl/>
              <w:snapToGrid w:val="0"/>
              <w:jc w:val="center"/>
              <w:rPr>
                <w:rFonts w:hint="eastAsia" w:ascii="宋体" w:hAnsi="宋体" w:eastAsia="宋体" w:cs="宋体"/>
                <w:color w:val="000000"/>
                <w:kern w:val="0"/>
                <w:sz w:val="20"/>
                <w:szCs w:val="20"/>
              </w:rPr>
            </w:pPr>
          </w:p>
        </w:tc>
        <w:tc>
          <w:tcPr>
            <w:tcW w:w="571" w:type="pct"/>
            <w:vMerge w:val="restart"/>
            <w:tcBorders>
              <w:top w:val="nil"/>
              <w:left w:val="single" w:color="auto" w:sz="4" w:space="0"/>
              <w:bottom w:val="single" w:color="auto" w:sz="4" w:space="0"/>
              <w:right w:val="single" w:color="auto" w:sz="4" w:space="0"/>
            </w:tcBorders>
            <w:shd w:val="clear" w:color="auto" w:fill="auto"/>
            <w:vAlign w:val="center"/>
          </w:tcPr>
          <w:p w14:paraId="29679410">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结转结余率（4）</w:t>
            </w:r>
          </w:p>
        </w:tc>
        <w:tc>
          <w:tcPr>
            <w:tcW w:w="2198"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A802C2">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11.90%</w:t>
            </w:r>
          </w:p>
        </w:tc>
        <w:tc>
          <w:tcPr>
            <w:tcW w:w="843" w:type="pct"/>
            <w:vMerge w:val="restart"/>
            <w:tcBorders>
              <w:top w:val="nil"/>
              <w:left w:val="single" w:color="auto" w:sz="4" w:space="0"/>
              <w:bottom w:val="single" w:color="auto" w:sz="4" w:space="0"/>
              <w:right w:val="single" w:color="auto" w:sz="4" w:space="0"/>
            </w:tcBorders>
            <w:shd w:val="clear" w:color="auto" w:fill="auto"/>
            <w:vAlign w:val="center"/>
          </w:tcPr>
          <w:p w14:paraId="197E70E5">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728.84/6998.56=10.4%</w:t>
            </w:r>
          </w:p>
        </w:tc>
        <w:tc>
          <w:tcPr>
            <w:tcW w:w="392" w:type="pct"/>
            <w:vMerge w:val="restart"/>
            <w:tcBorders>
              <w:top w:val="nil"/>
              <w:left w:val="single" w:color="auto" w:sz="4" w:space="0"/>
              <w:bottom w:val="single" w:color="auto" w:sz="4" w:space="0"/>
              <w:right w:val="single" w:color="auto" w:sz="4" w:space="0"/>
            </w:tcBorders>
            <w:shd w:val="clear" w:color="auto" w:fill="auto"/>
            <w:vAlign w:val="center"/>
          </w:tcPr>
          <w:p w14:paraId="22BDBF4F">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364" w:type="pct"/>
            <w:vMerge w:val="restart"/>
            <w:tcBorders>
              <w:top w:val="nil"/>
              <w:left w:val="single" w:color="auto" w:sz="4" w:space="0"/>
              <w:bottom w:val="single" w:color="auto" w:sz="4" w:space="0"/>
              <w:right w:val="single" w:color="auto" w:sz="4" w:space="0"/>
            </w:tcBorders>
            <w:shd w:val="clear" w:color="auto" w:fill="auto"/>
            <w:vAlign w:val="center"/>
          </w:tcPr>
          <w:p w14:paraId="6461036D">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14:paraId="2868B904">
        <w:tblPrEx>
          <w:tblCellMar>
            <w:top w:w="32" w:type="dxa"/>
            <w:left w:w="64" w:type="dxa"/>
            <w:bottom w:w="32" w:type="dxa"/>
            <w:right w:w="64" w:type="dxa"/>
          </w:tblCellMar>
        </w:tblPrEx>
        <w:trPr>
          <w:trHeight w:val="312"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760DE69A">
            <w:pPr>
              <w:widowControl/>
              <w:snapToGrid w:val="0"/>
              <w:jc w:val="center"/>
              <w:rPr>
                <w:rFonts w:hint="eastAsia" w:ascii="宋体" w:hAnsi="宋体" w:eastAsia="宋体" w:cs="宋体"/>
                <w:color w:val="000000"/>
                <w:kern w:val="0"/>
                <w:sz w:val="20"/>
                <w:szCs w:val="20"/>
              </w:rPr>
            </w:pPr>
          </w:p>
        </w:tc>
        <w:tc>
          <w:tcPr>
            <w:tcW w:w="571" w:type="pct"/>
            <w:vMerge w:val="continue"/>
            <w:tcBorders>
              <w:top w:val="nil"/>
              <w:left w:val="single" w:color="auto" w:sz="4" w:space="0"/>
              <w:bottom w:val="single" w:color="auto" w:sz="4" w:space="0"/>
              <w:right w:val="single" w:color="auto" w:sz="4" w:space="0"/>
            </w:tcBorders>
            <w:vAlign w:val="center"/>
          </w:tcPr>
          <w:p w14:paraId="0E5499AF">
            <w:pPr>
              <w:widowControl/>
              <w:snapToGrid w:val="0"/>
              <w:jc w:val="center"/>
              <w:rPr>
                <w:rFonts w:hint="eastAsia" w:ascii="宋体" w:hAnsi="宋体" w:eastAsia="宋体" w:cs="宋体"/>
                <w:color w:val="000000"/>
                <w:kern w:val="0"/>
                <w:sz w:val="20"/>
                <w:szCs w:val="20"/>
              </w:rPr>
            </w:pPr>
          </w:p>
        </w:tc>
        <w:tc>
          <w:tcPr>
            <w:tcW w:w="2198" w:type="pct"/>
            <w:gridSpan w:val="2"/>
            <w:vMerge w:val="continue"/>
            <w:tcBorders>
              <w:top w:val="single" w:color="auto" w:sz="4" w:space="0"/>
              <w:left w:val="single" w:color="auto" w:sz="4" w:space="0"/>
              <w:bottom w:val="single" w:color="auto" w:sz="4" w:space="0"/>
              <w:right w:val="single" w:color="auto" w:sz="4" w:space="0"/>
            </w:tcBorders>
            <w:vAlign w:val="center"/>
          </w:tcPr>
          <w:p w14:paraId="5E988C3D">
            <w:pPr>
              <w:widowControl/>
              <w:snapToGrid w:val="0"/>
              <w:jc w:val="center"/>
              <w:rPr>
                <w:rFonts w:hint="eastAsia" w:ascii="宋体" w:hAnsi="宋体" w:eastAsia="宋体" w:cs="宋体"/>
                <w:color w:val="000000"/>
                <w:kern w:val="0"/>
                <w:sz w:val="20"/>
                <w:szCs w:val="20"/>
              </w:rPr>
            </w:pPr>
          </w:p>
        </w:tc>
        <w:tc>
          <w:tcPr>
            <w:tcW w:w="843" w:type="pct"/>
            <w:vMerge w:val="continue"/>
            <w:tcBorders>
              <w:top w:val="nil"/>
              <w:left w:val="single" w:color="auto" w:sz="4" w:space="0"/>
              <w:bottom w:val="single" w:color="auto" w:sz="4" w:space="0"/>
              <w:right w:val="single" w:color="auto" w:sz="4" w:space="0"/>
            </w:tcBorders>
            <w:vAlign w:val="center"/>
          </w:tcPr>
          <w:p w14:paraId="1D48ECCF">
            <w:pPr>
              <w:widowControl/>
              <w:snapToGrid w:val="0"/>
              <w:jc w:val="center"/>
              <w:rPr>
                <w:rFonts w:hint="eastAsia" w:ascii="宋体" w:hAnsi="宋体" w:eastAsia="宋体" w:cs="宋体"/>
                <w:color w:val="000000"/>
                <w:kern w:val="0"/>
                <w:sz w:val="20"/>
                <w:szCs w:val="20"/>
              </w:rPr>
            </w:pPr>
          </w:p>
        </w:tc>
        <w:tc>
          <w:tcPr>
            <w:tcW w:w="392" w:type="pct"/>
            <w:vMerge w:val="continue"/>
            <w:tcBorders>
              <w:top w:val="nil"/>
              <w:left w:val="single" w:color="auto" w:sz="4" w:space="0"/>
              <w:bottom w:val="single" w:color="auto" w:sz="4" w:space="0"/>
              <w:right w:val="single" w:color="auto" w:sz="4" w:space="0"/>
            </w:tcBorders>
            <w:vAlign w:val="center"/>
          </w:tcPr>
          <w:p w14:paraId="11B18337">
            <w:pPr>
              <w:widowControl/>
              <w:snapToGrid w:val="0"/>
              <w:jc w:val="center"/>
              <w:rPr>
                <w:rFonts w:hint="eastAsia" w:ascii="宋体" w:hAnsi="宋体" w:eastAsia="宋体" w:cs="宋体"/>
                <w:color w:val="000000"/>
                <w:kern w:val="0"/>
                <w:sz w:val="20"/>
                <w:szCs w:val="20"/>
              </w:rPr>
            </w:pPr>
          </w:p>
        </w:tc>
        <w:tc>
          <w:tcPr>
            <w:tcW w:w="364" w:type="pct"/>
            <w:vMerge w:val="continue"/>
            <w:tcBorders>
              <w:top w:val="nil"/>
              <w:left w:val="single" w:color="auto" w:sz="4" w:space="0"/>
              <w:bottom w:val="single" w:color="auto" w:sz="4" w:space="0"/>
              <w:right w:val="single" w:color="auto" w:sz="4" w:space="0"/>
            </w:tcBorders>
            <w:vAlign w:val="center"/>
          </w:tcPr>
          <w:p w14:paraId="6203896E">
            <w:pPr>
              <w:widowControl/>
              <w:snapToGrid w:val="0"/>
              <w:jc w:val="center"/>
              <w:rPr>
                <w:rFonts w:hint="eastAsia" w:ascii="宋体" w:hAnsi="宋体" w:eastAsia="宋体" w:cs="宋体"/>
                <w:color w:val="000000"/>
                <w:kern w:val="0"/>
                <w:sz w:val="20"/>
                <w:szCs w:val="20"/>
              </w:rPr>
            </w:pPr>
          </w:p>
        </w:tc>
      </w:tr>
      <w:tr w14:paraId="02B3E96F">
        <w:tblPrEx>
          <w:tblCellMar>
            <w:top w:w="32" w:type="dxa"/>
            <w:left w:w="64" w:type="dxa"/>
            <w:bottom w:w="32" w:type="dxa"/>
            <w:right w:w="64" w:type="dxa"/>
          </w:tblCellMar>
        </w:tblPrEx>
        <w:trPr>
          <w:trHeight w:val="0" w:hRule="atLeast"/>
          <w:jc w:val="center"/>
        </w:trPr>
        <w:tc>
          <w:tcPr>
            <w:tcW w:w="629" w:type="pct"/>
            <w:vMerge w:val="continue"/>
            <w:tcBorders>
              <w:top w:val="nil"/>
              <w:left w:val="single" w:color="auto" w:sz="4" w:space="0"/>
              <w:bottom w:val="single" w:color="auto" w:sz="4" w:space="0"/>
              <w:right w:val="single" w:color="auto" w:sz="4" w:space="0"/>
            </w:tcBorders>
            <w:vAlign w:val="center"/>
          </w:tcPr>
          <w:p w14:paraId="548E9B1B">
            <w:pPr>
              <w:widowControl/>
              <w:snapToGrid w:val="0"/>
              <w:jc w:val="center"/>
              <w:rPr>
                <w:rFonts w:hint="eastAsia" w:ascii="宋体" w:hAnsi="宋体" w:eastAsia="宋体" w:cs="宋体"/>
                <w:color w:val="000000"/>
                <w:kern w:val="0"/>
                <w:sz w:val="20"/>
                <w:szCs w:val="20"/>
              </w:rPr>
            </w:pPr>
          </w:p>
        </w:tc>
        <w:tc>
          <w:tcPr>
            <w:tcW w:w="571" w:type="pct"/>
            <w:tcBorders>
              <w:top w:val="nil"/>
              <w:left w:val="nil"/>
              <w:bottom w:val="single" w:color="auto" w:sz="4" w:space="0"/>
              <w:right w:val="single" w:color="auto" w:sz="4" w:space="0"/>
            </w:tcBorders>
            <w:shd w:val="clear" w:color="auto" w:fill="auto"/>
            <w:vAlign w:val="center"/>
          </w:tcPr>
          <w:p w14:paraId="7DE12DAD">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部门预决算差异率（4）</w:t>
            </w:r>
          </w:p>
        </w:tc>
        <w:tc>
          <w:tcPr>
            <w:tcW w:w="2198" w:type="pct"/>
            <w:gridSpan w:val="2"/>
            <w:tcBorders>
              <w:top w:val="single" w:color="auto" w:sz="4" w:space="0"/>
              <w:left w:val="nil"/>
              <w:bottom w:val="single" w:color="auto" w:sz="4" w:space="0"/>
              <w:right w:val="single" w:color="auto" w:sz="4" w:space="0"/>
            </w:tcBorders>
            <w:shd w:val="clear" w:color="auto" w:fill="auto"/>
            <w:vAlign w:val="center"/>
          </w:tcPr>
          <w:p w14:paraId="42A24201">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11.4%</w:t>
            </w:r>
          </w:p>
        </w:tc>
        <w:tc>
          <w:tcPr>
            <w:tcW w:w="843" w:type="pct"/>
            <w:tcBorders>
              <w:top w:val="nil"/>
              <w:left w:val="nil"/>
              <w:bottom w:val="single" w:color="auto" w:sz="4" w:space="0"/>
              <w:right w:val="single" w:color="auto" w:sz="4" w:space="0"/>
            </w:tcBorders>
            <w:shd w:val="clear" w:color="auto" w:fill="auto"/>
            <w:vAlign w:val="center"/>
          </w:tcPr>
          <w:p w14:paraId="65CAF973">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(7403.65-6269.72)/7403.65=15.3%</w:t>
            </w:r>
          </w:p>
        </w:tc>
        <w:tc>
          <w:tcPr>
            <w:tcW w:w="392" w:type="pct"/>
            <w:tcBorders>
              <w:top w:val="nil"/>
              <w:left w:val="nil"/>
              <w:bottom w:val="single" w:color="auto" w:sz="4" w:space="0"/>
              <w:right w:val="single" w:color="auto" w:sz="4" w:space="0"/>
            </w:tcBorders>
            <w:shd w:val="clear" w:color="auto" w:fill="auto"/>
            <w:vAlign w:val="center"/>
          </w:tcPr>
          <w:p w14:paraId="36D0AFDB">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364" w:type="pct"/>
            <w:tcBorders>
              <w:top w:val="nil"/>
              <w:left w:val="nil"/>
              <w:bottom w:val="single" w:color="auto" w:sz="4" w:space="0"/>
              <w:right w:val="single" w:color="auto" w:sz="4" w:space="0"/>
            </w:tcBorders>
            <w:shd w:val="clear" w:color="auto" w:fill="auto"/>
            <w:vAlign w:val="center"/>
          </w:tcPr>
          <w:p w14:paraId="7EF740CB">
            <w:pPr>
              <w:widowControl/>
              <w:snapToGrid w:val="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w:t>
            </w:r>
          </w:p>
        </w:tc>
      </w:tr>
      <w:tr w14:paraId="6D8F7BA2">
        <w:tblPrEx>
          <w:tblCellMar>
            <w:top w:w="32" w:type="dxa"/>
            <w:left w:w="64" w:type="dxa"/>
            <w:bottom w:w="32" w:type="dxa"/>
            <w:right w:w="64" w:type="dxa"/>
          </w:tblCellMar>
        </w:tblPrEx>
        <w:trPr>
          <w:trHeight w:val="0" w:hRule="atLeast"/>
          <w:jc w:val="center"/>
        </w:trPr>
        <w:tc>
          <w:tcPr>
            <w:tcW w:w="4242"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0F08BC">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合计</w:t>
            </w:r>
          </w:p>
        </w:tc>
        <w:tc>
          <w:tcPr>
            <w:tcW w:w="392" w:type="pct"/>
            <w:tcBorders>
              <w:top w:val="single" w:color="auto" w:sz="4" w:space="0"/>
              <w:left w:val="nil"/>
              <w:bottom w:val="single" w:color="auto" w:sz="4" w:space="0"/>
              <w:right w:val="single" w:color="auto" w:sz="4" w:space="0"/>
            </w:tcBorders>
            <w:shd w:val="clear" w:color="auto" w:fill="auto"/>
            <w:vAlign w:val="center"/>
          </w:tcPr>
          <w:p w14:paraId="1ACF0418">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100.0</w:t>
            </w:r>
          </w:p>
        </w:tc>
        <w:tc>
          <w:tcPr>
            <w:tcW w:w="364" w:type="pct"/>
            <w:tcBorders>
              <w:top w:val="single" w:color="auto" w:sz="4" w:space="0"/>
              <w:left w:val="nil"/>
              <w:bottom w:val="single" w:color="auto" w:sz="4" w:space="0"/>
              <w:right w:val="single" w:color="auto" w:sz="4" w:space="0"/>
            </w:tcBorders>
            <w:shd w:val="clear" w:color="auto" w:fill="auto"/>
            <w:vAlign w:val="center"/>
          </w:tcPr>
          <w:p w14:paraId="12DCD780">
            <w:pPr>
              <w:widowControl/>
              <w:snapToGrid w:val="0"/>
              <w:jc w:val="center"/>
              <w:rPr>
                <w:rFonts w:hint="eastAsia" w:ascii="宋体" w:hAnsi="宋体" w:eastAsia="宋体" w:cs="宋体"/>
                <w:b/>
                <w:color w:val="000000"/>
                <w:kern w:val="0"/>
                <w:sz w:val="20"/>
                <w:szCs w:val="20"/>
              </w:rPr>
            </w:pPr>
            <w:r>
              <w:rPr>
                <w:rFonts w:hint="eastAsia" w:ascii="宋体" w:hAnsi="宋体" w:eastAsia="宋体" w:cs="宋体"/>
                <w:b/>
                <w:color w:val="000000"/>
                <w:kern w:val="0"/>
                <w:sz w:val="20"/>
                <w:szCs w:val="20"/>
              </w:rPr>
              <w:t>92.22</w:t>
            </w:r>
          </w:p>
        </w:tc>
      </w:tr>
    </w:tbl>
    <w:p w14:paraId="3486F95A">
      <w:pPr>
        <w:rPr>
          <w:rFonts w:hint="eastAsia" w:ascii="宋体" w:hAnsi="宋体" w:eastAsia="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C9952">
    <w:pPr>
      <w:pStyle w:val="17"/>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66B9461">
                          <w:pPr>
                            <w:pStyle w:val="17"/>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66B9461">
                    <w:pPr>
                      <w:pStyle w:val="17"/>
                      <w:rPr>
                        <w:rFonts w:hint="eastAsia"/>
                      </w:rPr>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320F8"/>
    <w:multiLevelType w:val="singleLevel"/>
    <w:tmpl w:val="00D320F8"/>
    <w:lvl w:ilvl="0" w:tentative="0">
      <w:start w:val="2"/>
      <w:numFmt w:val="decimal"/>
      <w:lvlText w:val="%1."/>
      <w:lvlJc w:val="left"/>
      <w:pPr>
        <w:tabs>
          <w:tab w:val="left" w:pos="312"/>
        </w:tabs>
      </w:pPr>
    </w:lvl>
  </w:abstractNum>
  <w:abstractNum w:abstractNumId="1">
    <w:nsid w:val="0287010B"/>
    <w:multiLevelType w:val="singleLevel"/>
    <w:tmpl w:val="0287010B"/>
    <w:lvl w:ilvl="0" w:tentative="0">
      <w:start w:val="2"/>
      <w:numFmt w:val="chineseCounting"/>
      <w:lvlText w:val="(%1)"/>
      <w:lvlJc w:val="left"/>
      <w:pPr>
        <w:tabs>
          <w:tab w:val="left" w:pos="312"/>
        </w:tabs>
      </w:pPr>
      <w:rPr>
        <w:rFonts w:hint="eastAsia"/>
      </w:rPr>
    </w:lvl>
  </w:abstractNum>
  <w:abstractNum w:abstractNumId="2">
    <w:nsid w:val="1A765492"/>
    <w:multiLevelType w:val="singleLevel"/>
    <w:tmpl w:val="1A765492"/>
    <w:lvl w:ilvl="0" w:tentative="0">
      <w:start w:val="2"/>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7A7"/>
    <w:rsid w:val="00045D91"/>
    <w:rsid w:val="000507DA"/>
    <w:rsid w:val="00072B3E"/>
    <w:rsid w:val="00173721"/>
    <w:rsid w:val="001B666A"/>
    <w:rsid w:val="001E0396"/>
    <w:rsid w:val="001E53CC"/>
    <w:rsid w:val="0020527E"/>
    <w:rsid w:val="00235EAC"/>
    <w:rsid w:val="00286D33"/>
    <w:rsid w:val="003207A7"/>
    <w:rsid w:val="00382882"/>
    <w:rsid w:val="0039550F"/>
    <w:rsid w:val="003E032A"/>
    <w:rsid w:val="00435459"/>
    <w:rsid w:val="00567088"/>
    <w:rsid w:val="005766F3"/>
    <w:rsid w:val="00581E9A"/>
    <w:rsid w:val="005876A2"/>
    <w:rsid w:val="005C7A79"/>
    <w:rsid w:val="00610789"/>
    <w:rsid w:val="00613C75"/>
    <w:rsid w:val="00697D25"/>
    <w:rsid w:val="006A7E48"/>
    <w:rsid w:val="006E2592"/>
    <w:rsid w:val="006F5732"/>
    <w:rsid w:val="007A7861"/>
    <w:rsid w:val="007F03A2"/>
    <w:rsid w:val="00800295"/>
    <w:rsid w:val="00874D46"/>
    <w:rsid w:val="008836DB"/>
    <w:rsid w:val="00893135"/>
    <w:rsid w:val="00894BB7"/>
    <w:rsid w:val="0089575C"/>
    <w:rsid w:val="008C67DD"/>
    <w:rsid w:val="008E2D42"/>
    <w:rsid w:val="00913315"/>
    <w:rsid w:val="009A62F3"/>
    <w:rsid w:val="009D0F2B"/>
    <w:rsid w:val="00A12EFD"/>
    <w:rsid w:val="00A560D1"/>
    <w:rsid w:val="00A979E4"/>
    <w:rsid w:val="00AE62AA"/>
    <w:rsid w:val="00B03D6E"/>
    <w:rsid w:val="00B8393F"/>
    <w:rsid w:val="00BF12EB"/>
    <w:rsid w:val="00C94417"/>
    <w:rsid w:val="00CC4506"/>
    <w:rsid w:val="00CC6C5C"/>
    <w:rsid w:val="00CF26AE"/>
    <w:rsid w:val="00D1113B"/>
    <w:rsid w:val="00D73DD3"/>
    <w:rsid w:val="00D808C5"/>
    <w:rsid w:val="00D904E7"/>
    <w:rsid w:val="00D948D6"/>
    <w:rsid w:val="00DA26AA"/>
    <w:rsid w:val="00DA738B"/>
    <w:rsid w:val="00DB1C57"/>
    <w:rsid w:val="00DD3211"/>
    <w:rsid w:val="00DF1F5C"/>
    <w:rsid w:val="00E45D7C"/>
    <w:rsid w:val="00E558AB"/>
    <w:rsid w:val="00E70882"/>
    <w:rsid w:val="00E95641"/>
    <w:rsid w:val="00ED196E"/>
    <w:rsid w:val="00EF4415"/>
    <w:rsid w:val="00EF63B5"/>
    <w:rsid w:val="00F04820"/>
    <w:rsid w:val="00F213D3"/>
    <w:rsid w:val="00F41416"/>
    <w:rsid w:val="00F5781F"/>
    <w:rsid w:val="00FB5F5D"/>
    <w:rsid w:val="00FD05C8"/>
    <w:rsid w:val="00FD7D73"/>
    <w:rsid w:val="00FE5285"/>
    <w:rsid w:val="01CC7001"/>
    <w:rsid w:val="0259223D"/>
    <w:rsid w:val="077F56DD"/>
    <w:rsid w:val="096B7D90"/>
    <w:rsid w:val="131A2028"/>
    <w:rsid w:val="13FF7A53"/>
    <w:rsid w:val="16D70815"/>
    <w:rsid w:val="1DF95513"/>
    <w:rsid w:val="202248F7"/>
    <w:rsid w:val="24761396"/>
    <w:rsid w:val="24877D1C"/>
    <w:rsid w:val="29475CCA"/>
    <w:rsid w:val="299B39FC"/>
    <w:rsid w:val="29CC39A8"/>
    <w:rsid w:val="2E0F5EA0"/>
    <w:rsid w:val="2F8E2D13"/>
    <w:rsid w:val="321E3342"/>
    <w:rsid w:val="32963A56"/>
    <w:rsid w:val="3ACC10A3"/>
    <w:rsid w:val="433C7ACC"/>
    <w:rsid w:val="4AFD5E9A"/>
    <w:rsid w:val="4B964700"/>
    <w:rsid w:val="4BB548C0"/>
    <w:rsid w:val="5BAD7454"/>
    <w:rsid w:val="5F30314B"/>
    <w:rsid w:val="60F4108D"/>
    <w:rsid w:val="65FD647B"/>
    <w:rsid w:val="66056D74"/>
    <w:rsid w:val="69034A64"/>
    <w:rsid w:val="6B3C4CB2"/>
    <w:rsid w:val="6E873A42"/>
    <w:rsid w:val="6EE62C6F"/>
    <w:rsid w:val="755251F8"/>
    <w:rsid w:val="76B31516"/>
    <w:rsid w:val="7D7358BD"/>
    <w:rsid w:val="7F784C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8"/>
    <w:qFormat/>
    <w:uiPriority w:val="9"/>
    <w:pPr>
      <w:spacing w:line="360" w:lineRule="auto"/>
      <w:ind w:firstLine="560" w:firstLineChars="200"/>
      <w:outlineLvl w:val="0"/>
    </w:pPr>
    <w:rPr>
      <w:rFonts w:ascii="宋体" w:hAnsi="宋体" w:eastAsia="宋体"/>
      <w:sz w:val="28"/>
      <w:szCs w:val="28"/>
    </w:rPr>
  </w:style>
  <w:style w:type="paragraph" w:styleId="5">
    <w:name w:val="heading 2"/>
    <w:basedOn w:val="1"/>
    <w:next w:val="1"/>
    <w:link w:val="29"/>
    <w:unhideWhenUsed/>
    <w:qFormat/>
    <w:uiPriority w:val="9"/>
    <w:pPr>
      <w:spacing w:line="360" w:lineRule="auto"/>
      <w:ind w:firstLine="560" w:firstLineChars="200"/>
      <w:outlineLvl w:val="1"/>
    </w:pPr>
    <w:rPr>
      <w:rFonts w:ascii="宋体" w:hAnsi="宋体" w:eastAsia="宋体"/>
      <w:sz w:val="28"/>
      <w:szCs w:val="28"/>
    </w:rPr>
  </w:style>
  <w:style w:type="paragraph" w:styleId="6">
    <w:name w:val="heading 3"/>
    <w:basedOn w:val="1"/>
    <w:next w:val="1"/>
    <w:link w:val="50"/>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7">
    <w:name w:val="heading 4"/>
    <w:basedOn w:val="1"/>
    <w:next w:val="1"/>
    <w:link w:val="3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8">
    <w:name w:val="heading 5"/>
    <w:basedOn w:val="1"/>
    <w:next w:val="1"/>
    <w:link w:val="3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9">
    <w:name w:val="heading 6"/>
    <w:basedOn w:val="1"/>
    <w:next w:val="1"/>
    <w:link w:val="33"/>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3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3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3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qFormat/>
    <w:uiPriority w:val="99"/>
    <w:pPr>
      <w:spacing w:after="120"/>
      <w:ind w:left="420" w:leftChars="200"/>
    </w:pPr>
    <w:rPr>
      <w:rFonts w:eastAsia="仿宋_GB2312"/>
    </w:rPr>
  </w:style>
  <w:style w:type="paragraph" w:styleId="13">
    <w:name w:val="annotation text"/>
    <w:basedOn w:val="1"/>
    <w:link w:val="52"/>
    <w:semiHidden/>
    <w:unhideWhenUsed/>
    <w:qFormat/>
    <w:uiPriority w:val="99"/>
    <w:pPr>
      <w:jc w:val="left"/>
    </w:pPr>
  </w:style>
  <w:style w:type="paragraph" w:styleId="14">
    <w:name w:val="Body Text"/>
    <w:basedOn w:val="1"/>
    <w:semiHidden/>
    <w:qFormat/>
    <w:uiPriority w:val="0"/>
    <w:rPr>
      <w:rFonts w:ascii="仿宋_GB2312" w:hAnsi="仿宋_GB2312" w:eastAsia="仿宋_GB2312" w:cs="仿宋_GB2312"/>
      <w:sz w:val="31"/>
      <w:szCs w:val="31"/>
    </w:rPr>
  </w:style>
  <w:style w:type="paragraph" w:styleId="15">
    <w:name w:val="Plain Text"/>
    <w:basedOn w:val="1"/>
    <w:next w:val="1"/>
    <w:qFormat/>
    <w:uiPriority w:val="0"/>
    <w:rPr>
      <w:rFonts w:ascii="宋体" w:hAnsi="Courier New" w:eastAsia="宋体" w:cs="Courier New"/>
      <w:szCs w:val="21"/>
    </w:rPr>
  </w:style>
  <w:style w:type="paragraph" w:styleId="16">
    <w:name w:val="Balloon Text"/>
    <w:basedOn w:val="1"/>
    <w:link w:val="51"/>
    <w:semiHidden/>
    <w:unhideWhenUsed/>
    <w:qFormat/>
    <w:uiPriority w:val="99"/>
    <w:rPr>
      <w:sz w:val="18"/>
      <w:szCs w:val="18"/>
    </w:rPr>
  </w:style>
  <w:style w:type="paragraph" w:styleId="17">
    <w:name w:val="footer"/>
    <w:basedOn w:val="1"/>
    <w:link w:val="47"/>
    <w:unhideWhenUsed/>
    <w:qFormat/>
    <w:uiPriority w:val="99"/>
    <w:pPr>
      <w:tabs>
        <w:tab w:val="center" w:pos="4153"/>
        <w:tab w:val="right" w:pos="8306"/>
      </w:tabs>
      <w:snapToGrid w:val="0"/>
      <w:jc w:val="left"/>
    </w:pPr>
    <w:rPr>
      <w:sz w:val="18"/>
      <w:szCs w:val="18"/>
    </w:rPr>
  </w:style>
  <w:style w:type="paragraph" w:styleId="18">
    <w:name w:val="header"/>
    <w:basedOn w:val="1"/>
    <w:link w:val="46"/>
    <w:unhideWhenUsed/>
    <w:qFormat/>
    <w:uiPriority w:val="99"/>
    <w:pP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Subtitle"/>
    <w:basedOn w:val="1"/>
    <w:next w:val="1"/>
    <w:link w:val="3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1">
    <w:name w:val="toc 2"/>
    <w:basedOn w:val="1"/>
    <w:next w:val="1"/>
    <w:unhideWhenUsed/>
    <w:qFormat/>
    <w:uiPriority w:val="39"/>
    <w:pPr>
      <w:ind w:left="420" w:leftChars="200"/>
    </w:pPr>
  </w:style>
  <w:style w:type="paragraph" w:styleId="22">
    <w:name w:val="Message Header"/>
    <w:basedOn w:val="1"/>
    <w:next w:val="14"/>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rPr>
  </w:style>
  <w:style w:type="paragraph" w:styleId="23">
    <w:name w:val="Title"/>
    <w:basedOn w:val="1"/>
    <w:next w:val="1"/>
    <w:link w:val="37"/>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24">
    <w:name w:val="annotation subject"/>
    <w:basedOn w:val="13"/>
    <w:next w:val="13"/>
    <w:link w:val="53"/>
    <w:semiHidden/>
    <w:unhideWhenUsed/>
    <w:qFormat/>
    <w:uiPriority w:val="99"/>
    <w:rPr>
      <w:b/>
      <w:bCs/>
    </w:rPr>
  </w:style>
  <w:style w:type="character" w:styleId="27">
    <w:name w:val="annotation reference"/>
    <w:basedOn w:val="26"/>
    <w:semiHidden/>
    <w:unhideWhenUsed/>
    <w:qFormat/>
    <w:uiPriority w:val="99"/>
    <w:rPr>
      <w:sz w:val="21"/>
      <w:szCs w:val="21"/>
    </w:rPr>
  </w:style>
  <w:style w:type="character" w:customStyle="1" w:styleId="28">
    <w:name w:val="标题 1 字符"/>
    <w:basedOn w:val="26"/>
    <w:link w:val="4"/>
    <w:qFormat/>
    <w:uiPriority w:val="9"/>
    <w:rPr>
      <w:rFonts w:ascii="宋体" w:hAnsi="宋体" w:eastAsia="宋体"/>
      <w:sz w:val="28"/>
      <w:szCs w:val="28"/>
    </w:rPr>
  </w:style>
  <w:style w:type="character" w:customStyle="1" w:styleId="29">
    <w:name w:val="标题 2 字符"/>
    <w:basedOn w:val="26"/>
    <w:link w:val="5"/>
    <w:qFormat/>
    <w:uiPriority w:val="9"/>
    <w:rPr>
      <w:rFonts w:ascii="宋体" w:hAnsi="宋体" w:eastAsia="宋体"/>
      <w:sz w:val="28"/>
      <w:szCs w:val="28"/>
    </w:rPr>
  </w:style>
  <w:style w:type="character" w:customStyle="1" w:styleId="30">
    <w:name w:val="标题 3 字符"/>
    <w:basedOn w:val="26"/>
    <w:semiHidden/>
    <w:qFormat/>
    <w:uiPriority w:val="9"/>
    <w:rPr>
      <w:rFonts w:asciiTheme="majorHAnsi" w:hAnsiTheme="majorHAnsi" w:eastAsiaTheme="majorEastAsia" w:cstheme="majorBidi"/>
      <w:color w:val="104862" w:themeColor="accent1" w:themeShade="BF"/>
      <w:sz w:val="32"/>
      <w:szCs w:val="32"/>
    </w:rPr>
  </w:style>
  <w:style w:type="character" w:customStyle="1" w:styleId="31">
    <w:name w:val="标题 4 字符"/>
    <w:basedOn w:val="26"/>
    <w:link w:val="7"/>
    <w:semiHidden/>
    <w:qFormat/>
    <w:uiPriority w:val="9"/>
    <w:rPr>
      <w:rFonts w:cstheme="majorBidi"/>
      <w:color w:val="104862" w:themeColor="accent1" w:themeShade="BF"/>
      <w:sz w:val="28"/>
      <w:szCs w:val="28"/>
    </w:rPr>
  </w:style>
  <w:style w:type="character" w:customStyle="1" w:styleId="32">
    <w:name w:val="标题 5 字符"/>
    <w:basedOn w:val="26"/>
    <w:link w:val="8"/>
    <w:semiHidden/>
    <w:qFormat/>
    <w:uiPriority w:val="9"/>
    <w:rPr>
      <w:rFonts w:cstheme="majorBidi"/>
      <w:color w:val="104862" w:themeColor="accent1" w:themeShade="BF"/>
      <w:sz w:val="24"/>
      <w:szCs w:val="24"/>
    </w:rPr>
  </w:style>
  <w:style w:type="character" w:customStyle="1" w:styleId="33">
    <w:name w:val="标题 6 字符"/>
    <w:basedOn w:val="26"/>
    <w:link w:val="9"/>
    <w:semiHidden/>
    <w:qFormat/>
    <w:uiPriority w:val="9"/>
    <w:rPr>
      <w:rFonts w:cstheme="majorBidi"/>
      <w:b/>
      <w:bCs/>
      <w:color w:val="104862" w:themeColor="accent1" w:themeShade="BF"/>
    </w:rPr>
  </w:style>
  <w:style w:type="character" w:customStyle="1" w:styleId="34">
    <w:name w:val="标题 7 字符"/>
    <w:basedOn w:val="26"/>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5">
    <w:name w:val="标题 8 字符"/>
    <w:basedOn w:val="26"/>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6">
    <w:name w:val="标题 9 字符"/>
    <w:basedOn w:val="26"/>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7">
    <w:name w:val="标题 字符"/>
    <w:basedOn w:val="26"/>
    <w:link w:val="23"/>
    <w:qFormat/>
    <w:uiPriority w:val="10"/>
    <w:rPr>
      <w:rFonts w:asciiTheme="majorHAnsi" w:hAnsiTheme="majorHAnsi" w:eastAsiaTheme="majorEastAsia" w:cstheme="majorBidi"/>
      <w:spacing w:val="-10"/>
      <w:kern w:val="28"/>
      <w:sz w:val="56"/>
      <w:szCs w:val="56"/>
    </w:rPr>
  </w:style>
  <w:style w:type="character" w:customStyle="1" w:styleId="38">
    <w:name w:val="副标题 字符"/>
    <w:basedOn w:val="26"/>
    <w:link w:val="20"/>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9">
    <w:name w:val="Quote"/>
    <w:basedOn w:val="1"/>
    <w:next w:val="1"/>
    <w:link w:val="4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40">
    <w:name w:val="引用 字符"/>
    <w:basedOn w:val="26"/>
    <w:link w:val="39"/>
    <w:qFormat/>
    <w:uiPriority w:val="29"/>
    <w:rPr>
      <w:i/>
      <w:iCs/>
      <w:color w:val="404040" w:themeColor="text1" w:themeTint="BF"/>
      <w14:textFill>
        <w14:solidFill>
          <w14:schemeClr w14:val="tx1">
            <w14:lumMod w14:val="75000"/>
            <w14:lumOff w14:val="25000"/>
          </w14:schemeClr>
        </w14:solidFill>
      </w14:textFill>
    </w:rPr>
  </w:style>
  <w:style w:type="paragraph" w:styleId="41">
    <w:name w:val="List Paragraph"/>
    <w:basedOn w:val="1"/>
    <w:qFormat/>
    <w:uiPriority w:val="34"/>
    <w:pPr>
      <w:ind w:left="720"/>
      <w:contextualSpacing/>
    </w:pPr>
  </w:style>
  <w:style w:type="character" w:customStyle="1" w:styleId="42">
    <w:name w:val="明显强调1"/>
    <w:basedOn w:val="26"/>
    <w:qFormat/>
    <w:uiPriority w:val="21"/>
    <w:rPr>
      <w:i/>
      <w:iCs/>
      <w:color w:val="104862" w:themeColor="accent1" w:themeShade="BF"/>
    </w:rPr>
  </w:style>
  <w:style w:type="paragraph" w:styleId="43">
    <w:name w:val="Intense Quote"/>
    <w:basedOn w:val="1"/>
    <w:next w:val="1"/>
    <w:link w:val="4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4">
    <w:name w:val="明显引用 字符"/>
    <w:basedOn w:val="26"/>
    <w:link w:val="43"/>
    <w:qFormat/>
    <w:uiPriority w:val="30"/>
    <w:rPr>
      <w:i/>
      <w:iCs/>
      <w:color w:val="104862" w:themeColor="accent1" w:themeShade="BF"/>
    </w:rPr>
  </w:style>
  <w:style w:type="character" w:customStyle="1" w:styleId="45">
    <w:name w:val="明显参考1"/>
    <w:basedOn w:val="26"/>
    <w:qFormat/>
    <w:uiPriority w:val="32"/>
    <w:rPr>
      <w:b/>
      <w:bCs/>
      <w:smallCaps/>
      <w:color w:val="104862" w:themeColor="accent1" w:themeShade="BF"/>
      <w:spacing w:val="5"/>
    </w:rPr>
  </w:style>
  <w:style w:type="character" w:customStyle="1" w:styleId="46">
    <w:name w:val="页眉 字符"/>
    <w:basedOn w:val="26"/>
    <w:link w:val="18"/>
    <w:qFormat/>
    <w:uiPriority w:val="99"/>
    <w:rPr>
      <w:sz w:val="18"/>
      <w:szCs w:val="18"/>
    </w:rPr>
  </w:style>
  <w:style w:type="character" w:customStyle="1" w:styleId="47">
    <w:name w:val="页脚 字符"/>
    <w:basedOn w:val="26"/>
    <w:link w:val="17"/>
    <w:qFormat/>
    <w:uiPriority w:val="99"/>
    <w:rPr>
      <w:sz w:val="18"/>
      <w:szCs w:val="18"/>
    </w:rPr>
  </w:style>
  <w:style w:type="paragraph" w:customStyle="1" w:styleId="48">
    <w:name w:val="本文正文"/>
    <w:basedOn w:val="1"/>
    <w:autoRedefine/>
    <w:qFormat/>
    <w:uiPriority w:val="0"/>
  </w:style>
  <w:style w:type="paragraph" w:customStyle="1" w:styleId="49">
    <w:name w:val="AONormal"/>
    <w:qFormat/>
    <w:uiPriority w:val="0"/>
    <w:pPr>
      <w:spacing w:line="260" w:lineRule="atLeast"/>
    </w:pPr>
    <w:rPr>
      <w:rFonts w:ascii="Times New Roman" w:hAnsi="Times New Roman" w:eastAsia="宋体" w:cs="Times New Roman"/>
      <w:sz w:val="22"/>
      <w:szCs w:val="22"/>
      <w:lang w:val="en-GB" w:eastAsia="en-US" w:bidi="ar-SA"/>
    </w:rPr>
  </w:style>
  <w:style w:type="character" w:customStyle="1" w:styleId="50">
    <w:name w:val="标题 3 字符1"/>
    <w:link w:val="6"/>
    <w:qFormat/>
    <w:uiPriority w:val="0"/>
    <w:rPr>
      <w:rFonts w:ascii="Times New Roman" w:hAnsi="Times New Roman" w:eastAsia="楷体" w:cs="Times New Roman"/>
    </w:rPr>
  </w:style>
  <w:style w:type="character" w:customStyle="1" w:styleId="51">
    <w:name w:val="批注框文本 字符"/>
    <w:basedOn w:val="26"/>
    <w:link w:val="16"/>
    <w:semiHidden/>
    <w:qFormat/>
    <w:uiPriority w:val="99"/>
    <w:rPr>
      <w:kern w:val="2"/>
      <w:sz w:val="18"/>
      <w:szCs w:val="18"/>
    </w:rPr>
  </w:style>
  <w:style w:type="character" w:customStyle="1" w:styleId="52">
    <w:name w:val="批注文字 字符"/>
    <w:basedOn w:val="26"/>
    <w:link w:val="13"/>
    <w:semiHidden/>
    <w:qFormat/>
    <w:uiPriority w:val="99"/>
    <w:rPr>
      <w:kern w:val="2"/>
      <w:sz w:val="21"/>
      <w:szCs w:val="22"/>
    </w:rPr>
  </w:style>
  <w:style w:type="character" w:customStyle="1" w:styleId="53">
    <w:name w:val="批注主题 字符"/>
    <w:basedOn w:val="52"/>
    <w:link w:val="24"/>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7828</Words>
  <Characters>9069</Characters>
  <Lines>117</Lines>
  <Paragraphs>32</Paragraphs>
  <TotalTime>1</TotalTime>
  <ScaleCrop>false</ScaleCrop>
  <LinksUpToDate>false</LinksUpToDate>
  <CharactersWithSpaces>9136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2025-05-07T03:17:00Z</dcterms:created>
  <dc:creator>848663967@qq.com</dc:creator>
  <cp:lastModifiedBy>星星</cp:lastModifiedBy>
  <cp:lastPrinted>2025-08-22T02:55:00Z</cp:lastPrinted>
  <dcterms:modified xsi:type="dcterms:W3CDTF">2025-08-27T09:15:26Z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eyJoZGlkIjoiOTIyOGQ1YmI3MDRiMmUwNzQ4ZWEwY2FlODdhMGRiZjciLCJ1c2VySWQiOiIxMTc1MDI0NzAyIn0=</vt:lpwstr>
  </property>
  <property fmtid="{D5CDD505-2E9C-101B-9397-08002B2CF9AE}" pid="3" name="KSOProductBuildVer">
    <vt:lpwstr>2052-12.1.0.22529</vt:lpwstr>
  </property>
  <property fmtid="{D5CDD505-2E9C-101B-9397-08002B2CF9AE}" pid="4" name="ICV">
    <vt:lpwstr>753189E5CDFC438FBED628ECB76AFCCF_13</vt:lpwstr>
  </property>
</Properties>
</file>