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DC9E1">
      <w:pPr>
        <w:spacing w:before="100" w:beforeAutospacing="1" w:after="100" w:afterAutospacing="1" w:line="560" w:lineRule="exact"/>
        <w:jc w:val="center"/>
        <w:rPr>
          <w:rFonts w:hint="eastAsia" w:ascii="方正小标宋简体" w:hAnsi="方正小标宋简体" w:eastAsia="方正小标宋简体" w:cs="方正小标宋简体"/>
          <w:b/>
          <w:bCs/>
          <w:sz w:val="52"/>
          <w:szCs w:val="52"/>
        </w:rPr>
      </w:pPr>
    </w:p>
    <w:p w14:paraId="028685B1">
      <w:pPr>
        <w:spacing w:line="560" w:lineRule="exact"/>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北京市市级财政支出项目</w:t>
      </w:r>
    </w:p>
    <w:p w14:paraId="7A87E4D4">
      <w:pPr>
        <w:spacing w:line="560" w:lineRule="exact"/>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绩效评价报告</w:t>
      </w:r>
    </w:p>
    <w:p w14:paraId="5B430C97">
      <w:pPr>
        <w:spacing w:before="100" w:beforeAutospacing="1" w:after="100" w:afterAutospacing="1" w:line="560" w:lineRule="exact"/>
        <w:rPr>
          <w:rFonts w:hint="eastAsia" w:ascii="方正小标宋简体" w:hAnsi="方正小标宋简体" w:eastAsia="方正小标宋简体" w:cs="方正小标宋简体"/>
          <w:b/>
          <w:bCs/>
          <w:sz w:val="52"/>
          <w:szCs w:val="52"/>
        </w:rPr>
      </w:pPr>
    </w:p>
    <w:p w14:paraId="391DA8D8">
      <w:pPr>
        <w:spacing w:before="100" w:beforeAutospacing="1" w:after="100" w:afterAutospacing="1" w:line="560" w:lineRule="exact"/>
        <w:rPr>
          <w:rFonts w:ascii="Arial" w:hAnsi="Arial" w:cs="Arial"/>
          <w:b/>
          <w:bCs/>
          <w:sz w:val="32"/>
          <w:szCs w:val="32"/>
        </w:rPr>
      </w:pPr>
    </w:p>
    <w:p w14:paraId="08FE51BE">
      <w:pPr>
        <w:spacing w:before="100" w:beforeAutospacing="1" w:after="100" w:afterAutospacing="1" w:line="560" w:lineRule="exact"/>
        <w:ind w:firstLine="1285" w:firstLineChars="400"/>
        <w:rPr>
          <w:rFonts w:ascii="Arial" w:hAnsi="Arial" w:cs="Arial"/>
          <w:b/>
          <w:bCs/>
          <w:sz w:val="32"/>
          <w:szCs w:val="32"/>
        </w:rPr>
      </w:pPr>
    </w:p>
    <w:p w14:paraId="5AE993C9">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Arial" w:hAnsi="Arial" w:cs="Arial"/>
          <w:b w:val="0"/>
          <w:bCs w:val="0"/>
          <w:sz w:val="32"/>
          <w:szCs w:val="32"/>
          <w:lang w:val="en-US" w:eastAsia="zh-CN"/>
        </w:rPr>
      </w:pPr>
    </w:p>
    <w:p w14:paraId="47EBDE3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default" w:ascii="Arial" w:hAnsi="Arial" w:eastAsia="仿宋_GB2312" w:cs="Arial"/>
          <w:b w:val="0"/>
          <w:bCs w:val="0"/>
          <w:sz w:val="32"/>
          <w:szCs w:val="32"/>
          <w:lang w:val="en-US" w:eastAsia="zh-CN"/>
        </w:rPr>
      </w:pPr>
      <w:r>
        <w:rPr>
          <w:rFonts w:ascii="Arial" w:hAnsi="Arial" w:cs="Arial"/>
          <w:b w:val="0"/>
          <w:bCs w:val="0"/>
          <w:sz w:val="32"/>
          <w:szCs w:val="32"/>
        </w:rPr>
        <w:t>项目</w:t>
      </w:r>
      <w:r>
        <w:rPr>
          <w:rFonts w:hint="eastAsia" w:ascii="Arial" w:hAnsi="Arial" w:cs="Arial"/>
          <w:b w:val="0"/>
          <w:bCs w:val="0"/>
          <w:sz w:val="32"/>
          <w:szCs w:val="32"/>
          <w:lang w:val="en-US" w:eastAsia="zh-CN"/>
        </w:rPr>
        <w:t>部门</w:t>
      </w:r>
      <w:r>
        <w:rPr>
          <w:rFonts w:hint="eastAsia" w:ascii="Arial" w:hAnsi="Arial" w:cs="Arial"/>
          <w:b w:val="0"/>
          <w:bCs w:val="0"/>
          <w:sz w:val="32"/>
          <w:szCs w:val="32"/>
        </w:rPr>
        <w:t>：</w:t>
      </w:r>
      <w:r>
        <w:rPr>
          <w:rFonts w:hint="eastAsia" w:ascii="Arial" w:hAnsi="Arial" w:cs="Arial"/>
          <w:b w:val="0"/>
          <w:bCs w:val="0"/>
          <w:sz w:val="32"/>
          <w:szCs w:val="32"/>
          <w:lang w:val="en-US" w:eastAsia="zh-CN"/>
        </w:rPr>
        <w:t>北京市投资促进服务中心</w:t>
      </w:r>
    </w:p>
    <w:p w14:paraId="67FB4E9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default" w:ascii="Arial" w:hAnsi="Arial" w:cs="Arial"/>
          <w:b w:val="0"/>
          <w:bCs w:val="0"/>
          <w:sz w:val="32"/>
          <w:szCs w:val="32"/>
          <w:lang w:val="en-US" w:eastAsia="zh-CN"/>
        </w:rPr>
      </w:pPr>
      <w:r>
        <w:rPr>
          <w:rFonts w:ascii="Arial" w:hAnsi="Arial" w:cs="Arial"/>
          <w:b w:val="0"/>
          <w:bCs w:val="0"/>
          <w:sz w:val="32"/>
          <w:szCs w:val="32"/>
        </w:rPr>
        <w:t>项目单位</w:t>
      </w:r>
      <w:r>
        <w:rPr>
          <w:rFonts w:hint="eastAsia" w:ascii="Arial" w:hAnsi="Arial" w:cs="Arial"/>
          <w:b w:val="0"/>
          <w:bCs w:val="0"/>
          <w:sz w:val="32"/>
          <w:szCs w:val="32"/>
        </w:rPr>
        <w:t>：</w:t>
      </w:r>
      <w:r>
        <w:rPr>
          <w:rFonts w:ascii="Arial" w:hAnsi="Arial" w:cs="Arial"/>
          <w:b w:val="0"/>
          <w:bCs w:val="0"/>
          <w:sz w:val="32"/>
          <w:szCs w:val="32"/>
        </w:rPr>
        <w:t>北京市</w:t>
      </w:r>
      <w:r>
        <w:rPr>
          <w:rFonts w:hint="eastAsia" w:ascii="Arial" w:hAnsi="Arial" w:cs="Arial"/>
          <w:b w:val="0"/>
          <w:bCs w:val="0"/>
          <w:sz w:val="32"/>
          <w:szCs w:val="32"/>
          <w:lang w:val="en-US" w:eastAsia="zh-CN"/>
        </w:rPr>
        <w:t>投资促进服务中心（本级）</w:t>
      </w:r>
    </w:p>
    <w:p w14:paraId="0A1C9F6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default" w:ascii="Arial" w:hAnsi="Arial" w:cs="Arial"/>
          <w:b w:val="0"/>
          <w:bCs w:val="0"/>
          <w:sz w:val="32"/>
          <w:szCs w:val="32"/>
          <w:lang w:val="en-US" w:eastAsia="zh-CN"/>
        </w:rPr>
      </w:pPr>
      <w:r>
        <w:rPr>
          <w:rFonts w:hint="eastAsia" w:ascii="Arial" w:hAnsi="Arial" w:cs="Arial"/>
          <w:b w:val="0"/>
          <w:bCs w:val="0"/>
          <w:sz w:val="32"/>
          <w:szCs w:val="32"/>
        </w:rPr>
        <w:t>项目名称：</w:t>
      </w:r>
      <w:r>
        <w:rPr>
          <w:rFonts w:hint="eastAsia" w:ascii="Arial" w:hAnsi="Arial" w:cs="Arial"/>
          <w:b w:val="0"/>
          <w:bCs w:val="0"/>
          <w:sz w:val="32"/>
          <w:szCs w:val="32"/>
          <w:lang w:val="en-US" w:eastAsia="zh-CN"/>
        </w:rPr>
        <w:t>北京市对外招商推介宣传片</w:t>
      </w:r>
    </w:p>
    <w:p w14:paraId="17D08435">
      <w:pPr>
        <w:pStyle w:val="4"/>
        <w:spacing w:line="560" w:lineRule="exact"/>
        <w:rPr>
          <w:rFonts w:hint="default"/>
          <w:lang w:val="en-US" w:eastAsia="zh-CN"/>
        </w:rPr>
      </w:pPr>
    </w:p>
    <w:p w14:paraId="4F9EA36B">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eastAsia" w:ascii="Arial" w:hAnsi="Arial" w:cs="Arial"/>
          <w:b w:val="0"/>
          <w:bCs w:val="0"/>
          <w:sz w:val="32"/>
          <w:szCs w:val="32"/>
          <w:lang w:val="en-US" w:eastAsia="zh-CN"/>
        </w:rPr>
      </w:pPr>
    </w:p>
    <w:p w14:paraId="497D00F6">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eastAsia" w:ascii="Arial" w:hAnsi="Arial" w:cs="Arial"/>
          <w:b w:val="0"/>
          <w:bCs w:val="0"/>
          <w:sz w:val="32"/>
          <w:szCs w:val="32"/>
          <w:lang w:val="en-US" w:eastAsia="zh-CN"/>
        </w:rPr>
      </w:pPr>
    </w:p>
    <w:p w14:paraId="529DEA25">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eastAsia" w:ascii="Arial" w:hAnsi="Arial" w:cs="Arial"/>
          <w:b w:val="0"/>
          <w:bCs w:val="0"/>
          <w:sz w:val="32"/>
          <w:szCs w:val="32"/>
          <w:lang w:val="en-US" w:eastAsia="zh-CN"/>
        </w:rPr>
      </w:pPr>
    </w:p>
    <w:p w14:paraId="2106FE45">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1200" w:leftChars="400" w:firstLine="0" w:firstLineChars="0"/>
        <w:textAlignment w:val="auto"/>
        <w:rPr>
          <w:rFonts w:hint="eastAsia" w:ascii="Arial" w:hAnsi="Arial" w:cs="Arial"/>
          <w:b w:val="0"/>
          <w:bCs w:val="0"/>
          <w:sz w:val="32"/>
          <w:szCs w:val="32"/>
          <w:lang w:val="en-US" w:eastAsia="zh-CN"/>
        </w:rPr>
      </w:pPr>
    </w:p>
    <w:p w14:paraId="50374FEB">
      <w:pPr>
        <w:spacing w:line="560" w:lineRule="exact"/>
      </w:pPr>
      <w:bookmarkStart w:id="90" w:name="_GoBack"/>
      <w:bookmarkEnd w:id="90"/>
    </w:p>
    <w:p w14:paraId="20108E44">
      <w:pPr>
        <w:spacing w:line="560" w:lineRule="exact"/>
        <w:jc w:val="center"/>
        <w:rPr>
          <w:rFonts w:hint="eastAsia" w:ascii="微软雅黑" w:hAnsi="微软雅黑" w:eastAsia="微软雅黑" w:cs="微软雅黑"/>
          <w:sz w:val="36"/>
          <w:szCs w:val="36"/>
          <w:lang w:val="en-US" w:eastAsia="zh-CN"/>
        </w:rPr>
      </w:pPr>
      <w:r>
        <w:rPr>
          <w:rFonts w:hint="eastAsia" w:ascii="宋体" w:hAnsi="宋体" w:eastAsia="宋体"/>
          <w:b w:val="0"/>
          <w:bCs w:val="0"/>
          <w:sz w:val="32"/>
          <w:szCs w:val="32"/>
          <w:lang w:val="en-US" w:eastAsia="zh-CN"/>
        </w:rPr>
        <w:t>二零二四年五月</w:t>
      </w:r>
    </w:p>
    <w:p w14:paraId="600F80F9">
      <w:pPr>
        <w:spacing w:line="560" w:lineRule="exact"/>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lang w:val="en-US" w:eastAsia="zh-CN"/>
        </w:rPr>
        <w:br w:type="page"/>
      </w:r>
    </w:p>
    <w:p w14:paraId="5486FDFE">
      <w:pPr>
        <w:spacing w:line="560" w:lineRule="exact"/>
        <w:rPr>
          <w:rFonts w:hint="default"/>
          <w:lang w:val="en-US" w:eastAsia="zh-CN"/>
        </w:rPr>
      </w:pPr>
    </w:p>
    <w:sdt>
      <w:sdtPr>
        <w:rPr>
          <w:rFonts w:ascii="宋体" w:hAnsi="宋体" w:eastAsia="宋体" w:cs="Times New Roman"/>
          <w:kern w:val="2"/>
          <w:sz w:val="21"/>
          <w:szCs w:val="24"/>
          <w:lang w:val="en-US" w:eastAsia="zh-CN" w:bidi="ar-SA"/>
        </w:rPr>
        <w:id w:val="147468953"/>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14:paraId="78347A8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0"/>
          </w:pPr>
          <w:r>
            <w:rPr>
              <w:rFonts w:hint="eastAsia" w:ascii="微软雅黑" w:hAnsi="微软雅黑" w:eastAsia="微软雅黑" w:cs="微软雅黑"/>
              <w:sz w:val="44"/>
              <w:szCs w:val="44"/>
            </w:rPr>
            <w:t>目</w:t>
          </w:r>
          <w:r>
            <w:rPr>
              <w:rFonts w:hint="eastAsia" w:ascii="微软雅黑" w:hAnsi="微软雅黑" w:eastAsia="微软雅黑" w:cs="微软雅黑"/>
              <w:sz w:val="44"/>
              <w:szCs w:val="44"/>
              <w:lang w:val="en-US" w:eastAsia="zh-CN"/>
            </w:rPr>
            <w:t xml:space="preserve"> </w:t>
          </w:r>
          <w:r>
            <w:rPr>
              <w:rFonts w:hint="eastAsia" w:ascii="微软雅黑" w:hAnsi="微软雅黑" w:eastAsia="微软雅黑" w:cs="微软雅黑"/>
              <w:sz w:val="44"/>
              <w:szCs w:val="44"/>
            </w:rPr>
            <w:t>录</w:t>
          </w:r>
        </w:p>
        <w:p w14:paraId="622267EF">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fldChar w:fldCharType="begin"/>
          </w:r>
          <w:r>
            <w:instrText xml:space="preserve">TOC \o "1-2" \h \u </w:instrText>
          </w:r>
          <w: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_Toc30232 </w:instrText>
          </w:r>
          <w:r>
            <w:rPr>
              <w:rFonts w:hint="eastAsia" w:ascii="仿宋" w:hAnsi="仿宋" w:eastAsia="仿宋" w:cs="仿宋"/>
              <w:sz w:val="32"/>
              <w:szCs w:val="32"/>
            </w:rPr>
            <w:fldChar w:fldCharType="separate"/>
          </w:r>
          <w:r>
            <w:rPr>
              <w:rFonts w:hint="eastAsia" w:ascii="仿宋" w:hAnsi="仿宋" w:eastAsia="仿宋" w:cs="仿宋"/>
              <w:sz w:val="32"/>
              <w:szCs w:val="32"/>
            </w:rPr>
            <w:t>一、基本情况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_Toc30232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2FB2791">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_Toc27418 </w:instrText>
          </w:r>
          <w:r>
            <w:rPr>
              <w:rFonts w:hint="eastAsia" w:ascii="仿宋" w:hAnsi="仿宋" w:eastAsia="仿宋" w:cs="仿宋"/>
              <w:sz w:val="32"/>
              <w:szCs w:val="32"/>
            </w:rPr>
            <w:fldChar w:fldCharType="separate"/>
          </w:r>
          <w:r>
            <w:rPr>
              <w:rFonts w:hint="eastAsia" w:ascii="仿宋" w:hAnsi="仿宋" w:eastAsia="仿宋" w:cs="仿宋"/>
              <w:sz w:val="32"/>
              <w:szCs w:val="32"/>
            </w:rPr>
            <w:t>（一）项目概况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_Toc27418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1423920">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_Toc20349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_Toc20349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F063DDE">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_Toc2985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二、绩效评价工作开展情况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_Toc2985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EBD925F">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_Toc6063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_Toc6063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441EDA6">
          <w:pPr>
            <w:pStyle w:val="12"/>
            <w:keepNext w:val="0"/>
            <w:keepLines w:val="0"/>
            <w:pageBreakBefore w:val="0"/>
            <w:widowControl w:val="0"/>
            <w:tabs>
              <w:tab w:val="right" w:leader="dot" w:pos="8306"/>
            </w:tabs>
            <w:kinsoku/>
            <w:wordWrap/>
            <w:overflowPunct/>
            <w:topLinePunct w:val="0"/>
            <w:autoSpaceDE/>
            <w:autoSpaceDN/>
            <w:bidi w:val="0"/>
            <w:spacing w:line="560" w:lineRule="exact"/>
            <w:ind w:left="1560" w:hanging="960" w:hangingChars="30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_Toc29740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eastAsia="zh-CN"/>
            </w:rPr>
            <w:t>（</w:t>
          </w:r>
          <w:r>
            <w:rPr>
              <w:rFonts w:hint="eastAsia" w:ascii="仿宋" w:hAnsi="仿宋" w:eastAsia="仿宋" w:cs="仿宋"/>
              <w:bCs/>
              <w:kern w:val="44"/>
              <w:sz w:val="32"/>
              <w:szCs w:val="32"/>
              <w:lang w:val="en-US" w:eastAsia="zh-CN"/>
            </w:rPr>
            <w:t>二</w:t>
          </w:r>
          <w:r>
            <w:rPr>
              <w:rFonts w:hint="eastAsia" w:ascii="仿宋" w:hAnsi="仿宋" w:eastAsia="仿宋" w:cs="仿宋"/>
              <w:bCs/>
              <w:kern w:val="44"/>
              <w:sz w:val="32"/>
              <w:szCs w:val="32"/>
              <w:lang w:eastAsia="zh-CN"/>
            </w:rPr>
            <w:t>）</w:t>
          </w:r>
          <w:r>
            <w:rPr>
              <w:rFonts w:hint="eastAsia" w:ascii="仿宋" w:hAnsi="仿宋" w:eastAsia="仿宋" w:cs="仿宋"/>
              <w:bCs/>
              <w:kern w:val="44"/>
              <w:sz w:val="32"/>
              <w:szCs w:val="32"/>
            </w:rPr>
            <w:t>绩效评价原则、评价方法、评价指标体系、</w:t>
          </w:r>
          <w:r>
            <w:rPr>
              <w:rFonts w:hint="eastAsia" w:ascii="仿宋" w:hAnsi="仿宋" w:eastAsia="仿宋" w:cs="仿宋"/>
              <w:bCs/>
              <w:kern w:val="44"/>
              <w:sz w:val="32"/>
              <w:szCs w:val="32"/>
            </w:rPr>
            <w:br w:type="textWrapping"/>
          </w:r>
          <w:r>
            <w:rPr>
              <w:rFonts w:hint="eastAsia" w:ascii="仿宋" w:hAnsi="仿宋" w:eastAsia="仿宋" w:cs="仿宋"/>
              <w:bCs/>
              <w:kern w:val="44"/>
              <w:sz w:val="32"/>
              <w:szCs w:val="32"/>
            </w:rPr>
            <w:t>评价标准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_Toc29740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D6B87C2">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_Toc22135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（三）绩效评价工作过程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_Toc22135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0D90C1B">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_Toc7171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三、</w:t>
          </w:r>
          <w:r>
            <w:rPr>
              <w:rFonts w:hint="eastAsia" w:ascii="仿宋" w:hAnsi="仿宋" w:eastAsia="仿宋" w:cs="仿宋"/>
              <w:bCs w:val="0"/>
              <w:sz w:val="32"/>
              <w:szCs w:val="32"/>
            </w:rPr>
            <w:t>综合评价情况及评价结论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_Toc7171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3E4E028">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_Toc19209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四、绩效评价指标分析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_Toc19209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32AB41A">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_Toc12326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_Toc12326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8D99D91">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_Toc5808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_Toc5808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C51CC93">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_Toc7204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_Toc7204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DE1CA7D">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_Toc12414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_Toc12414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B2A8402">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_Toc21886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五、主要经验及做法、存在的主要问题及原因分析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_Toc21886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60AC19A">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_Toc4037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（一）主要经验及做法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_Toc4037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34915DB">
          <w:pPr>
            <w:pStyle w:val="12"/>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_Toc14022 </w:instrText>
          </w:r>
          <w:r>
            <w:rPr>
              <w:rFonts w:hint="eastAsia" w:ascii="仿宋" w:hAnsi="仿宋" w:eastAsia="仿宋" w:cs="仿宋"/>
              <w:sz w:val="32"/>
              <w:szCs w:val="32"/>
            </w:rPr>
            <w:fldChar w:fldCharType="separate"/>
          </w:r>
          <w:r>
            <w:rPr>
              <w:rFonts w:hint="eastAsia" w:ascii="仿宋" w:hAnsi="仿宋" w:eastAsia="仿宋" w:cs="仿宋"/>
              <w:bCs/>
              <w:kern w:val="44"/>
              <w:sz w:val="32"/>
              <w:szCs w:val="32"/>
              <w:lang w:val="en-US" w:eastAsia="zh-CN"/>
            </w:rPr>
            <w:t>（二）存在的主要问题及原因分析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_Toc14022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132C8C1">
          <w:pPr>
            <w:pStyle w:val="11"/>
            <w:keepNext w:val="0"/>
            <w:keepLines w:val="0"/>
            <w:pageBreakBefore w:val="0"/>
            <w:widowControl w:val="0"/>
            <w:tabs>
              <w:tab w:val="right" w:leader="dot" w:pos="8306"/>
            </w:tabs>
            <w:kinsoku/>
            <w:wordWrap/>
            <w:overflowPunct/>
            <w:topLinePunct w:val="0"/>
            <w:autoSpaceDE/>
            <w:autoSpaceDN/>
            <w:bidi w:val="0"/>
            <w:spacing w:line="560" w:lineRule="exact"/>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_Toc2866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六</w:t>
          </w:r>
          <w:r>
            <w:rPr>
              <w:rFonts w:hint="eastAsia" w:ascii="仿宋" w:hAnsi="仿宋" w:eastAsia="仿宋" w:cs="仿宋"/>
              <w:bCs w:val="0"/>
              <w:sz w:val="32"/>
              <w:szCs w:val="32"/>
            </w:rPr>
            <w:t>、相关建议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_Toc2866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3835BF4">
          <w:pPr>
            <w:pStyle w:val="11"/>
            <w:keepNext w:val="0"/>
            <w:keepLines w:val="0"/>
            <w:pageBreakBefore w:val="0"/>
            <w:widowControl w:val="0"/>
            <w:tabs>
              <w:tab w:val="right" w:leader="dot" w:pos="8306"/>
            </w:tabs>
            <w:kinsoku/>
            <w:wordWrap/>
            <w:overflowPunct/>
            <w:topLinePunct w:val="0"/>
            <w:autoSpaceDE/>
            <w:autoSpaceDN/>
            <w:bidi w:val="0"/>
            <w:spacing w:line="560" w:lineRule="exact"/>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_Toc4307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_Toc4307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703D1B4">
          <w:pPr>
            <w:keepNext w:val="0"/>
            <w:keepLines w:val="0"/>
            <w:pageBreakBefore w:val="0"/>
            <w:widowControl w:val="0"/>
            <w:kinsoku/>
            <w:wordWrap/>
            <w:overflowPunct/>
            <w:topLinePunct w:val="0"/>
            <w:autoSpaceDE/>
            <w:autoSpaceDN/>
            <w:bidi w:val="0"/>
            <w:spacing w:line="560" w:lineRule="exact"/>
          </w:pPr>
          <w:r>
            <w:fldChar w:fldCharType="end"/>
          </w:r>
        </w:p>
      </w:sdtContent>
    </w:sdt>
    <w:p w14:paraId="41518250">
      <w:pPr>
        <w:keepNext w:val="0"/>
        <w:keepLines w:val="0"/>
        <w:pageBreakBefore w:val="0"/>
        <w:widowControl w:val="0"/>
        <w:kinsoku/>
        <w:wordWrap/>
        <w:overflowPunct/>
        <w:topLinePunct w:val="0"/>
        <w:autoSpaceDE/>
        <w:autoSpaceDN/>
        <w:bidi w:val="0"/>
        <w:adjustRightInd/>
        <w:snapToGrid/>
        <w:spacing w:after="313" w:afterLines="100" w:line="560" w:lineRule="exact"/>
        <w:jc w:val="both"/>
        <w:textAlignment w:val="auto"/>
        <w:rPr>
          <w:rFonts w:hint="eastAsia" w:ascii="方正大标宋简体" w:hAnsi="方正大标宋简体" w:eastAsia="方正大标宋简体" w:cs="方正大标宋简体"/>
          <w:b w:val="0"/>
          <w:bCs/>
          <w:sz w:val="36"/>
          <w:szCs w:val="44"/>
        </w:rPr>
        <w:sectPr>
          <w:footerReference r:id="rId3" w:type="default"/>
          <w:pgSz w:w="11906" w:h="16838"/>
          <w:pgMar w:top="1440" w:right="1800" w:bottom="1440" w:left="1800" w:header="851" w:footer="992" w:gutter="0"/>
          <w:pgNumType w:fmt="decimal"/>
          <w:cols w:space="425" w:num="1"/>
          <w:docGrid w:type="lines" w:linePitch="312" w:charSpace="0"/>
        </w:sectPr>
      </w:pPr>
    </w:p>
    <w:p w14:paraId="0DC095E1">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rPr>
      </w:pPr>
      <w:r>
        <w:rPr>
          <w:rFonts w:hint="eastAsia" w:ascii="方正大标宋简体" w:hAnsi="方正大标宋简体" w:eastAsia="方正大标宋简体" w:cs="方正大标宋简体"/>
          <w:b w:val="0"/>
          <w:bCs/>
          <w:sz w:val="36"/>
          <w:szCs w:val="44"/>
        </w:rPr>
        <w:t>“北京</w:t>
      </w:r>
      <w:r>
        <w:rPr>
          <w:rFonts w:hint="eastAsia" w:ascii="方正大标宋简体" w:hAnsi="方正大标宋简体" w:eastAsia="方正大标宋简体" w:cs="方正大标宋简体"/>
          <w:b w:val="0"/>
          <w:bCs/>
          <w:sz w:val="36"/>
          <w:szCs w:val="44"/>
          <w:lang w:val="en-US" w:eastAsia="zh-CN"/>
        </w:rPr>
        <w:t>市对外招商推介宣传片</w:t>
      </w:r>
      <w:r>
        <w:rPr>
          <w:rFonts w:hint="eastAsia" w:ascii="方正大标宋简体" w:hAnsi="方正大标宋简体" w:eastAsia="方正大标宋简体" w:cs="方正大标宋简体"/>
          <w:b w:val="0"/>
          <w:bCs/>
          <w:sz w:val="36"/>
          <w:szCs w:val="44"/>
        </w:rPr>
        <w:t>”</w:t>
      </w:r>
      <w:r>
        <w:rPr>
          <w:rFonts w:hint="eastAsia" w:ascii="方正大标宋简体" w:hAnsi="方正大标宋简体" w:eastAsia="方正大标宋简体" w:cs="方正大标宋简体"/>
          <w:b w:val="0"/>
          <w:bCs/>
          <w:sz w:val="36"/>
          <w:szCs w:val="44"/>
        </w:rPr>
        <w:br w:type="textWrapping"/>
      </w:r>
      <w:r>
        <w:rPr>
          <w:rFonts w:hint="eastAsia" w:ascii="方正大标宋简体" w:hAnsi="方正大标宋简体" w:eastAsia="方正大标宋简体" w:cs="方正大标宋简体"/>
          <w:b w:val="0"/>
          <w:bCs/>
          <w:sz w:val="36"/>
          <w:szCs w:val="44"/>
        </w:rPr>
        <w:t>项目支出绩效评价报告</w:t>
      </w:r>
    </w:p>
    <w:p w14:paraId="660E2F4D">
      <w:pPr>
        <w:keepNext w:val="0"/>
        <w:keepLines w:val="0"/>
        <w:pageBreakBefore w:val="0"/>
        <w:widowControl w:val="0"/>
        <w:kinsoku/>
        <w:wordWrap/>
        <w:overflowPunct/>
        <w:topLinePunct w:val="0"/>
        <w:autoSpaceDE/>
        <w:autoSpaceDN/>
        <w:bidi w:val="0"/>
        <w:spacing w:line="560" w:lineRule="exact"/>
        <w:ind w:firstLine="640" w:firstLineChars="200"/>
        <w:rPr>
          <w:rFonts w:ascii="仿宋_GB2312" w:cs="仿宋_GB2312"/>
          <w:sz w:val="32"/>
          <w:szCs w:val="32"/>
          <w:highlight w:val="none"/>
        </w:rPr>
      </w:pPr>
      <w:r>
        <w:rPr>
          <w:rFonts w:hint="eastAsia" w:ascii="仿宋_GB2312" w:cs="仿宋_GB2312"/>
          <w:sz w:val="32"/>
          <w:szCs w:val="32"/>
        </w:rPr>
        <w:t>为提高财政资金使用效益，合理配置公共财政资源，根据《中华</w:t>
      </w:r>
      <w:r>
        <w:rPr>
          <w:rFonts w:ascii="仿宋_GB2312" w:cs="仿宋_GB2312"/>
          <w:sz w:val="32"/>
          <w:szCs w:val="32"/>
        </w:rPr>
        <w:t>人民共和国</w:t>
      </w:r>
      <w:r>
        <w:rPr>
          <w:rFonts w:hint="eastAsia" w:ascii="仿宋_GB2312" w:cs="仿宋_GB2312"/>
          <w:sz w:val="32"/>
          <w:szCs w:val="32"/>
        </w:rPr>
        <w:t>预算法》、《北京市预算绩效管理办法》（京财绩效〔2019〕2129号）和《北京市项目支出绩效评价管理办法》（京财绩效〔2020〕2146号）等相关文件要求，北京市投资促进服务中心（</w:t>
      </w:r>
      <w:r>
        <w:rPr>
          <w:rFonts w:hint="eastAsia" w:ascii="仿宋_GB2312" w:cs="仿宋_GB2312"/>
          <w:sz w:val="32"/>
          <w:szCs w:val="32"/>
          <w:lang w:val="en-US" w:eastAsia="zh-CN"/>
        </w:rPr>
        <w:t>简称市投资促进中心</w:t>
      </w:r>
      <w:r>
        <w:rPr>
          <w:rFonts w:hint="eastAsia" w:ascii="仿宋_GB2312" w:cs="仿宋_GB2312"/>
          <w:sz w:val="32"/>
          <w:szCs w:val="32"/>
        </w:rPr>
        <w:t>）成立了绩效</w:t>
      </w:r>
      <w:r>
        <w:rPr>
          <w:rFonts w:hint="eastAsia" w:ascii="仿宋_GB2312" w:cs="仿宋_GB2312"/>
          <w:sz w:val="32"/>
          <w:szCs w:val="32"/>
          <w:lang w:val="en-US" w:eastAsia="zh-CN"/>
        </w:rPr>
        <w:t>评价</w:t>
      </w:r>
      <w:r>
        <w:rPr>
          <w:rFonts w:hint="eastAsia" w:ascii="仿宋_GB2312" w:cs="仿宋_GB2312"/>
          <w:sz w:val="32"/>
          <w:szCs w:val="32"/>
        </w:rPr>
        <w:t>工作组，于20</w:t>
      </w:r>
      <w:r>
        <w:rPr>
          <w:rFonts w:ascii="仿宋_GB2312" w:cs="仿宋_GB2312"/>
          <w:sz w:val="32"/>
          <w:szCs w:val="32"/>
        </w:rPr>
        <w:t>2</w:t>
      </w:r>
      <w:r>
        <w:rPr>
          <w:rFonts w:hint="eastAsia" w:ascii="仿宋_GB2312" w:cs="仿宋_GB2312"/>
          <w:sz w:val="32"/>
          <w:szCs w:val="32"/>
          <w:lang w:val="en-US" w:eastAsia="zh-CN"/>
        </w:rPr>
        <w:t>4</w:t>
      </w:r>
      <w:r>
        <w:rPr>
          <w:rFonts w:hint="eastAsia" w:ascii="仿宋_GB2312" w:cs="仿宋_GB2312"/>
          <w:sz w:val="32"/>
          <w:szCs w:val="32"/>
        </w:rPr>
        <w:t>年5月，对2</w:t>
      </w:r>
      <w:r>
        <w:rPr>
          <w:rFonts w:hint="eastAsia" w:ascii="仿宋_GB2312" w:cs="仿宋_GB2312"/>
          <w:sz w:val="32"/>
          <w:szCs w:val="32"/>
          <w:highlight w:val="none"/>
        </w:rPr>
        <w:t>02</w:t>
      </w:r>
      <w:r>
        <w:rPr>
          <w:rFonts w:hint="eastAsia" w:ascii="仿宋_GB2312" w:cs="仿宋_GB2312"/>
          <w:sz w:val="32"/>
          <w:szCs w:val="32"/>
          <w:highlight w:val="none"/>
          <w:lang w:val="en-US" w:eastAsia="zh-CN"/>
        </w:rPr>
        <w:t>3</w:t>
      </w:r>
      <w:r>
        <w:rPr>
          <w:rFonts w:hint="eastAsia" w:ascii="仿宋_GB2312" w:cs="仿宋_GB2312"/>
          <w:sz w:val="32"/>
          <w:szCs w:val="32"/>
          <w:highlight w:val="none"/>
        </w:rPr>
        <w:t>年度“</w:t>
      </w:r>
      <w:r>
        <w:rPr>
          <w:rFonts w:hint="eastAsia" w:ascii="仿宋_GB2312" w:cs="仿宋_GB2312"/>
          <w:sz w:val="32"/>
          <w:szCs w:val="32"/>
          <w:highlight w:val="none"/>
          <w:lang w:val="en-US" w:eastAsia="zh-CN"/>
        </w:rPr>
        <w:t>北京市对外招商推介宣传片</w:t>
      </w:r>
      <w:r>
        <w:rPr>
          <w:rFonts w:hint="eastAsia" w:ascii="仿宋_GB2312" w:cs="仿宋_GB2312"/>
          <w:sz w:val="32"/>
          <w:szCs w:val="32"/>
          <w:highlight w:val="none"/>
        </w:rPr>
        <w:t>”项目开展了绩效评价。该项目</w:t>
      </w:r>
      <w:r>
        <w:rPr>
          <w:rFonts w:ascii="仿宋_GB2312" w:cs="仿宋_GB2312"/>
          <w:sz w:val="32"/>
          <w:szCs w:val="32"/>
          <w:highlight w:val="none"/>
        </w:rPr>
        <w:t>评价结果为</w:t>
      </w:r>
      <w:r>
        <w:rPr>
          <w:rFonts w:hint="eastAsia" w:ascii="仿宋_GB2312" w:cs="仿宋_GB2312"/>
          <w:sz w:val="32"/>
          <w:szCs w:val="32"/>
          <w:highlight w:val="none"/>
          <w:lang w:val="en-US" w:eastAsia="zh-CN"/>
        </w:rPr>
        <w:t>88.5</w:t>
      </w:r>
      <w:r>
        <w:rPr>
          <w:rFonts w:hint="eastAsia" w:ascii="仿宋_GB2312" w:cs="仿宋_GB2312"/>
          <w:sz w:val="32"/>
          <w:szCs w:val="32"/>
          <w:highlight w:val="none"/>
        </w:rPr>
        <w:t>分，评价等级为</w:t>
      </w:r>
      <w:r>
        <w:rPr>
          <w:rFonts w:hint="eastAsia" w:ascii="仿宋_GB2312" w:cs="仿宋_GB2312"/>
          <w:sz w:val="32"/>
          <w:szCs w:val="32"/>
          <w:highlight w:val="none"/>
          <w:lang w:val="en-US" w:eastAsia="zh-CN"/>
        </w:rPr>
        <w:t>良</w:t>
      </w:r>
      <w:r>
        <w:rPr>
          <w:rFonts w:hint="eastAsia" w:ascii="仿宋_GB2312" w:cs="仿宋_GB2312"/>
          <w:sz w:val="32"/>
          <w:szCs w:val="32"/>
          <w:highlight w:val="none"/>
        </w:rPr>
        <w:t>。评价情况如下：</w:t>
      </w:r>
    </w:p>
    <w:p w14:paraId="44E42056">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ascii="黑体" w:hAnsi="黑体" w:eastAsia="黑体" w:cs="黑体"/>
          <w:sz w:val="32"/>
          <w:szCs w:val="32"/>
        </w:rPr>
      </w:pPr>
      <w:bookmarkStart w:id="0" w:name="_Toc29427"/>
      <w:bookmarkStart w:id="1" w:name="_Toc30232"/>
      <w:r>
        <w:rPr>
          <w:rFonts w:hint="eastAsia" w:ascii="黑体" w:hAnsi="黑体" w:eastAsia="黑体" w:cs="黑体"/>
          <w:sz w:val="32"/>
          <w:szCs w:val="32"/>
        </w:rPr>
        <w:t>一、基本情况</w:t>
      </w:r>
      <w:bookmarkEnd w:id="0"/>
      <w:bookmarkEnd w:id="1"/>
    </w:p>
    <w:p w14:paraId="5D9648E2">
      <w:pPr>
        <w:keepNext w:val="0"/>
        <w:keepLines w:val="0"/>
        <w:pageBreakBefore w:val="0"/>
        <w:widowControl w:val="0"/>
        <w:kinsoku/>
        <w:wordWrap/>
        <w:overflowPunct/>
        <w:topLinePunct w:val="0"/>
        <w:autoSpaceDE/>
        <w:autoSpaceDN/>
        <w:bidi w:val="0"/>
        <w:spacing w:line="560" w:lineRule="exact"/>
        <w:ind w:firstLine="640" w:firstLineChars="200"/>
        <w:outlineLvl w:val="1"/>
        <w:rPr>
          <w:rFonts w:ascii="楷体_GB2312" w:hAnsi="楷体_GB2312" w:eastAsia="楷体_GB2312" w:cs="楷体_GB2312"/>
          <w:sz w:val="32"/>
          <w:szCs w:val="32"/>
        </w:rPr>
      </w:pPr>
      <w:bookmarkStart w:id="2" w:name="_Toc12133"/>
      <w:bookmarkStart w:id="3" w:name="_Toc27418"/>
      <w:r>
        <w:rPr>
          <w:rFonts w:hint="eastAsia" w:ascii="楷体_GB2312" w:hAnsi="楷体_GB2312" w:eastAsia="楷体_GB2312" w:cs="楷体_GB2312"/>
          <w:sz w:val="32"/>
          <w:szCs w:val="32"/>
        </w:rPr>
        <w:t>（一）项目概况</w:t>
      </w:r>
      <w:bookmarkEnd w:id="2"/>
      <w:bookmarkEnd w:id="3"/>
    </w:p>
    <w:p w14:paraId="504A33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14:paraId="7F57C87E">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2023年是全面贯彻落实党的二十大精神的开局之年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大力宣传习近平新时代中国特色社会主义思想指导下北京市政治经济、科技文化等领域的发展新成就，</w:t>
      </w:r>
      <w:r>
        <w:rPr>
          <w:rFonts w:hint="eastAsia" w:ascii="仿宋_GB2312" w:cs="仿宋_GB2312"/>
          <w:sz w:val="32"/>
          <w:szCs w:val="32"/>
          <w:lang w:val="en-US" w:eastAsia="zh-CN"/>
        </w:rPr>
        <w:t>市投资促进中心</w:t>
      </w:r>
      <w:r>
        <w:rPr>
          <w:rFonts w:hint="eastAsia" w:ascii="仿宋_GB2312" w:hAnsi="仿宋_GB2312" w:eastAsia="仿宋_GB2312" w:cs="仿宋_GB2312"/>
          <w:sz w:val="32"/>
          <w:szCs w:val="32"/>
          <w:lang w:eastAsia="zh-CN"/>
        </w:rPr>
        <w:t>拍摄制作</w:t>
      </w:r>
      <w:r>
        <w:rPr>
          <w:rFonts w:hint="eastAsia" w:ascii="仿宋_GB2312" w:hAnsi="仿宋_GB2312" w:eastAsia="仿宋_GB2312" w:cs="仿宋_GB2312"/>
          <w:sz w:val="32"/>
          <w:szCs w:val="32"/>
        </w:rPr>
        <w:t>北京市对外招商推介宣传片</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方便国内外投资企业更加准确、全面了解北京市在高质量发展经济方面的最新规划和未来机遇，把北京发展蓝图展示出去，把重点产业和功能区推介出去，释放高质量发展信号，增强企业在京发展信心，努力促进高精尖企业来京发展。</w:t>
      </w:r>
    </w:p>
    <w:p w14:paraId="743CB85D">
      <w:pPr>
        <w:pStyle w:val="4"/>
        <w:keepNext w:val="0"/>
        <w:keepLines w:val="0"/>
        <w:pageBreakBefore w:val="0"/>
        <w:widowControl w:val="0"/>
        <w:kinsoku/>
        <w:wordWrap/>
        <w:overflowPunct/>
        <w:topLinePunct w:val="0"/>
        <w:autoSpaceDE/>
        <w:autoSpaceDN/>
        <w:bidi w:val="0"/>
        <w:spacing w:line="56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kern w:val="2"/>
          <w:sz w:val="32"/>
          <w:szCs w:val="32"/>
          <w:lang w:val="en-US" w:eastAsia="zh-CN" w:bidi="ar-SA"/>
        </w:rPr>
        <w:t>更好的完成北京市对外招商推介宣传片</w:t>
      </w:r>
      <w:r>
        <w:rPr>
          <w:rFonts w:hint="eastAsia" w:ascii="仿宋_GB2312" w:hAnsi="仿宋_GB2312" w:cs="仿宋_GB2312"/>
          <w:kern w:val="2"/>
          <w:sz w:val="32"/>
          <w:szCs w:val="32"/>
          <w:lang w:val="en-US" w:eastAsia="zh-CN" w:bidi="ar-SA"/>
        </w:rPr>
        <w:t>工作</w:t>
      </w:r>
      <w:r>
        <w:rPr>
          <w:rFonts w:hint="eastAsia" w:ascii="仿宋_GB2312" w:hAnsi="仿宋_GB2312" w:eastAsia="仿宋_GB2312" w:cs="仿宋_GB2312"/>
          <w:kern w:val="2"/>
          <w:sz w:val="32"/>
          <w:szCs w:val="32"/>
          <w:lang w:val="en-US" w:eastAsia="zh-CN" w:bidi="ar-SA"/>
        </w:rPr>
        <w:t>任务，</w:t>
      </w:r>
      <w:r>
        <w:rPr>
          <w:rFonts w:hint="eastAsia" w:ascii="仿宋_GB2312" w:hAnsi="仿宋_GB2312" w:cs="仿宋_GB2312"/>
          <w:kern w:val="2"/>
          <w:sz w:val="32"/>
          <w:szCs w:val="32"/>
          <w:lang w:val="en-US" w:eastAsia="zh-CN" w:bidi="ar-SA"/>
        </w:rPr>
        <w:t>市投资促进中心</w:t>
      </w:r>
      <w:r>
        <w:rPr>
          <w:rFonts w:hint="eastAsia" w:ascii="仿宋_GB2312" w:hAnsi="仿宋_GB2312" w:eastAsia="仿宋_GB2312" w:cs="仿宋_GB2312"/>
          <w:kern w:val="2"/>
          <w:sz w:val="32"/>
          <w:szCs w:val="32"/>
          <w:lang w:val="en-US" w:eastAsia="zh-CN" w:bidi="ar-SA"/>
        </w:rPr>
        <w:t>向北京市财政局申请</w:t>
      </w:r>
      <w:r>
        <w:rPr>
          <w:rFonts w:hint="eastAsia" w:ascii="仿宋_GB2312" w:hAnsi="仿宋_GB2312" w:cs="仿宋_GB2312"/>
          <w:kern w:val="2"/>
          <w:sz w:val="32"/>
          <w:szCs w:val="32"/>
          <w:lang w:val="en-US" w:eastAsia="zh-CN" w:bidi="ar-SA"/>
        </w:rPr>
        <w:t>了</w:t>
      </w:r>
      <w:r>
        <w:rPr>
          <w:rFonts w:hint="eastAsia" w:ascii="仿宋_GB2312" w:hAnsi="仿宋_GB2312" w:eastAsia="仿宋_GB2312" w:cs="仿宋_GB2312"/>
          <w:kern w:val="2"/>
          <w:sz w:val="32"/>
          <w:szCs w:val="32"/>
          <w:lang w:val="en-US" w:eastAsia="zh-CN" w:bidi="ar-SA"/>
        </w:rPr>
        <w:t>财政资金。</w:t>
      </w:r>
    </w:p>
    <w:p w14:paraId="3158CC69">
      <w:pPr>
        <w:pStyle w:val="4"/>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w:t>
      </w:r>
      <w:r>
        <w:rPr>
          <w:rFonts w:hint="eastAsia" w:ascii="仿宋_GB2312" w:hAnsi="仿宋_GB2312" w:cs="仿宋_GB2312"/>
          <w:sz w:val="32"/>
          <w:szCs w:val="32"/>
          <w:lang w:val="en-US" w:eastAsia="zh-CN"/>
        </w:rPr>
        <w:t>及实施情况</w:t>
      </w:r>
    </w:p>
    <w:p w14:paraId="310486B1">
      <w:pPr>
        <w:pStyle w:val="1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outlineLvl w:val="9"/>
        <w:rPr>
          <w:rFonts w:hint="default" w:ascii="仿宋_GB2312" w:hAnsi="仿宋_GB2312" w:eastAsia="仿宋_GB2312" w:cs="仿宋_GB2312"/>
          <w:b w:val="0"/>
          <w:bCs w:val="0"/>
          <w:kern w:val="2"/>
          <w:sz w:val="32"/>
          <w:szCs w:val="32"/>
          <w:lang w:val="en-US" w:eastAsia="zh-CN" w:bidi="ar-SA"/>
        </w:rPr>
      </w:pPr>
      <w:bookmarkStart w:id="4" w:name="_Toc7414"/>
      <w:bookmarkStart w:id="5" w:name="_Toc640"/>
      <w:r>
        <w:rPr>
          <w:rFonts w:hint="eastAsia" w:ascii="仿宋_GB2312" w:hAnsi="仿宋_GB2312" w:eastAsia="仿宋_GB2312" w:cs="仿宋_GB2312"/>
          <w:b w:val="0"/>
          <w:bCs w:val="0"/>
          <w:kern w:val="2"/>
          <w:sz w:val="32"/>
          <w:szCs w:val="32"/>
          <w:lang w:val="en-US" w:eastAsia="zh-CN" w:bidi="ar-SA"/>
        </w:rPr>
        <w:t>项目主要内容包括</w:t>
      </w:r>
      <w:r>
        <w:rPr>
          <w:rFonts w:hint="eastAsia" w:ascii="仿宋_GB2312" w:hAnsi="仿宋_GB2312" w:cs="仿宋_GB2312"/>
          <w:b w:val="0"/>
          <w:bCs w:val="0"/>
          <w:kern w:val="2"/>
          <w:sz w:val="32"/>
          <w:szCs w:val="32"/>
          <w:lang w:val="en-US" w:eastAsia="zh-CN" w:bidi="ar-SA"/>
        </w:rPr>
        <w:t>两</w:t>
      </w:r>
      <w:r>
        <w:rPr>
          <w:rFonts w:hint="eastAsia" w:ascii="仿宋_GB2312" w:hAnsi="仿宋_GB2312" w:eastAsia="仿宋_GB2312" w:cs="仿宋_GB2312"/>
          <w:b w:val="0"/>
          <w:bCs w:val="0"/>
          <w:kern w:val="2"/>
          <w:sz w:val="32"/>
          <w:szCs w:val="32"/>
          <w:lang w:val="en-US" w:eastAsia="zh-CN" w:bidi="ar-SA"/>
        </w:rPr>
        <w:t>方面：</w:t>
      </w:r>
      <w:r>
        <w:rPr>
          <w:rFonts w:hint="eastAsia" w:ascii="仿宋_GB2312" w:hAnsi="仿宋_GB2312" w:cs="仿宋_GB2312"/>
          <w:b/>
          <w:bCs/>
          <w:kern w:val="2"/>
          <w:sz w:val="32"/>
          <w:szCs w:val="32"/>
          <w:lang w:val="en-US" w:eastAsia="zh-CN" w:bidi="ar-SA"/>
        </w:rPr>
        <w:t>一是</w:t>
      </w:r>
      <w:r>
        <w:rPr>
          <w:rFonts w:hint="eastAsia" w:ascii="仿宋_GB2312" w:hAnsi="仿宋_GB2312" w:eastAsia="仿宋_GB2312" w:cs="仿宋_GB2312"/>
          <w:b/>
          <w:bCs/>
          <w:kern w:val="2"/>
          <w:sz w:val="32"/>
          <w:szCs w:val="32"/>
          <w:lang w:val="en-US" w:eastAsia="zh-CN" w:bidi="ar-SA"/>
        </w:rPr>
        <w:t>宣传片内容</w:t>
      </w:r>
      <w:r>
        <w:rPr>
          <w:rFonts w:hint="eastAsia" w:ascii="仿宋_GB2312" w:hAnsi="仿宋_GB2312" w:eastAsia="仿宋_GB2312" w:cs="仿宋_GB2312"/>
          <w:b w:val="0"/>
          <w:bCs w:val="0"/>
          <w:kern w:val="2"/>
          <w:sz w:val="32"/>
          <w:szCs w:val="32"/>
          <w:lang w:val="en-US" w:eastAsia="zh-CN" w:bidi="ar-SA"/>
        </w:rPr>
        <w:t>：由</w:t>
      </w:r>
      <w:r>
        <w:rPr>
          <w:rFonts w:hint="eastAsia" w:ascii="仿宋_GB2312" w:hAnsi="仿宋_GB2312" w:cs="仿宋_GB2312"/>
          <w:b w:val="0"/>
          <w:bCs w:val="0"/>
          <w:kern w:val="2"/>
          <w:sz w:val="32"/>
          <w:szCs w:val="32"/>
          <w:lang w:val="en-US" w:eastAsia="zh-CN" w:bidi="ar-SA"/>
        </w:rPr>
        <w:t>市投资促进中心</w:t>
      </w:r>
      <w:r>
        <w:rPr>
          <w:rFonts w:hint="eastAsia" w:ascii="仿宋_GB2312" w:hAnsi="仿宋_GB2312" w:eastAsia="仿宋_GB2312" w:cs="仿宋_GB2312"/>
          <w:b w:val="0"/>
          <w:bCs w:val="0"/>
          <w:kern w:val="2"/>
          <w:sz w:val="32"/>
          <w:szCs w:val="32"/>
          <w:lang w:val="en-US" w:eastAsia="zh-CN" w:bidi="ar-SA"/>
        </w:rPr>
        <w:t>委托专业机构制作主题为“投资北京，赢得未来”的推介宣传片。宣传片应契合首都大格局大视野，紧密围绕“四个中心”定位，向投资者描绘北京市近年来取得的整体成就和未来蓝图。宣传片将重点突出北京优势与特色，包括全球关注的“双奥之城”、引领全国的“两区”等规划方案、日臻完善的高精尖产业体系、不断涌现的科技创新成果、有国际影响力的环球主题公园和大运河等文化项目以及优质营商环境等，进一步释放北京高质量发展的积极信号，向投资者全方位展示北京的广阔机遇，激发优质企业来京投资意愿。</w:t>
      </w:r>
      <w:r>
        <w:rPr>
          <w:rFonts w:hint="eastAsia" w:ascii="仿宋_GB2312" w:hAnsi="仿宋_GB2312" w:cs="仿宋_GB2312"/>
          <w:b/>
          <w:bCs/>
          <w:kern w:val="2"/>
          <w:sz w:val="32"/>
          <w:szCs w:val="32"/>
          <w:lang w:val="en-US" w:eastAsia="zh-CN" w:bidi="ar-SA"/>
        </w:rPr>
        <w:t>二是拍摄要素：</w:t>
      </w:r>
      <w:r>
        <w:rPr>
          <w:rFonts w:hint="eastAsia" w:ascii="仿宋_GB2312" w:hAnsi="仿宋_GB2312" w:cs="仿宋_GB2312"/>
          <w:b w:val="0"/>
          <w:bCs w:val="0"/>
          <w:kern w:val="2"/>
          <w:sz w:val="32"/>
          <w:szCs w:val="32"/>
          <w:lang w:val="en-US" w:eastAsia="zh-CN" w:bidi="ar-SA"/>
        </w:rPr>
        <w:t>（1）视频形式：宣传片分为长短两个版本，以适应不同招商引资活动的宣传推介展示工作。长版本采用中英文(根据需要配其它语种解说)配音配乐，时长控制在6分钟以内，最短不少于5分钟；短版本采用精华镜头集中展示，时长控制在3分钟以内，最短不少于2分钟。（2）技术参数：视频成品分辨率应≥1920*1080H.264高清格式，帧率≥25p,并制作出适配各类会议环境、网络上存储和播放的格式，满足大中小型现场会议场景和网络播放的规格要求。</w:t>
      </w:r>
      <w:bookmarkEnd w:id="4"/>
      <w:bookmarkEnd w:id="5"/>
    </w:p>
    <w:p w14:paraId="01456DCB">
      <w:pPr>
        <w:pStyle w:val="4"/>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.资金投入和使用情况</w:t>
      </w:r>
    </w:p>
    <w:p w14:paraId="39A50B5A">
      <w:pPr>
        <w:keepNext w:val="0"/>
        <w:keepLines w:val="0"/>
        <w:pageBreakBefore w:val="0"/>
        <w:widowControl w:val="0"/>
        <w:kinsoku/>
        <w:wordWrap/>
        <w:overflowPunct/>
        <w:topLinePunct w:val="0"/>
        <w:autoSpaceDE/>
        <w:autoSpaceDN/>
        <w:bidi w:val="0"/>
        <w:spacing w:line="560" w:lineRule="exact"/>
        <w:ind w:firstLine="707" w:firstLineChars="221"/>
        <w:rPr>
          <w:rFonts w:hint="default" w:ascii="仿宋_GB2312" w:hAnsi="仿宋_GB2312" w:cs="仿宋_GB2312"/>
          <w:bCs/>
          <w:color w:val="auto"/>
          <w:kern w:val="44"/>
          <w:sz w:val="32"/>
          <w:szCs w:val="32"/>
          <w:highlight w:val="none"/>
          <w:lang w:val="en-US" w:eastAsia="zh-CN"/>
        </w:rPr>
      </w:pPr>
      <w:r>
        <w:rPr>
          <w:rFonts w:hint="eastAsia" w:ascii="仿宋_GB2312" w:hAnsi="楷体" w:eastAsia="仿宋_GB2312"/>
          <w:bCs/>
          <w:kern w:val="0"/>
          <w:sz w:val="32"/>
          <w:szCs w:val="28"/>
          <w:highlight w:val="none"/>
        </w:rPr>
        <w:t>2023年</w:t>
      </w:r>
      <w:r>
        <w:rPr>
          <w:rFonts w:hint="eastAsia" w:ascii="仿宋_GB2312" w:hAnsi="楷体"/>
          <w:bCs/>
          <w:kern w:val="0"/>
          <w:sz w:val="32"/>
          <w:szCs w:val="28"/>
          <w:highlight w:val="none"/>
          <w:lang w:val="en-US" w:eastAsia="zh-CN"/>
        </w:rPr>
        <w:t>2月</w:t>
      </w:r>
      <w:r>
        <w:rPr>
          <w:rFonts w:hint="eastAsia" w:ascii="仿宋_GB2312" w:hAnsi="楷体" w:eastAsia="仿宋_GB2312"/>
          <w:bCs/>
          <w:kern w:val="0"/>
          <w:sz w:val="32"/>
          <w:szCs w:val="28"/>
          <w:highlight w:val="none"/>
        </w:rPr>
        <w:t>，根据</w:t>
      </w:r>
      <w:r>
        <w:rPr>
          <w:rFonts w:hint="eastAsia" w:ascii="仿宋_GB2312" w:hAnsi="楷体"/>
          <w:bCs/>
          <w:kern w:val="0"/>
          <w:sz w:val="32"/>
          <w:szCs w:val="28"/>
          <w:highlight w:val="none"/>
          <w:lang w:eastAsia="zh-CN"/>
        </w:rPr>
        <w:t>《</w:t>
      </w:r>
      <w:r>
        <w:rPr>
          <w:rFonts w:hint="eastAsia" w:ascii="仿宋_GB2312" w:hAnsi="楷体" w:eastAsia="仿宋_GB2312"/>
          <w:bCs/>
          <w:kern w:val="0"/>
          <w:sz w:val="32"/>
          <w:szCs w:val="28"/>
          <w:highlight w:val="none"/>
        </w:rPr>
        <w:t>北京市财政局关于批复北京市投资促进服务中心2023年预算的函</w:t>
      </w:r>
      <w:r>
        <w:rPr>
          <w:rFonts w:hint="eastAsia" w:ascii="仿宋_GB2312" w:hAnsi="楷体"/>
          <w:bCs/>
          <w:kern w:val="0"/>
          <w:sz w:val="32"/>
          <w:szCs w:val="28"/>
          <w:highlight w:val="none"/>
          <w:lang w:eastAsia="zh-CN"/>
        </w:rPr>
        <w:t>》（</w:t>
      </w:r>
      <w:r>
        <w:rPr>
          <w:rFonts w:hint="eastAsia" w:ascii="仿宋_GB2312" w:hAnsi="楷体" w:eastAsia="仿宋_GB2312"/>
          <w:bCs/>
          <w:kern w:val="0"/>
          <w:sz w:val="32"/>
          <w:szCs w:val="28"/>
          <w:highlight w:val="none"/>
        </w:rPr>
        <w:t>京财经建指〔202</w:t>
      </w:r>
      <w:r>
        <w:rPr>
          <w:rFonts w:hint="eastAsia" w:ascii="仿宋_GB2312" w:hAnsi="楷体"/>
          <w:bCs/>
          <w:kern w:val="0"/>
          <w:sz w:val="32"/>
          <w:szCs w:val="28"/>
          <w:highlight w:val="none"/>
          <w:lang w:val="en-US" w:eastAsia="zh-CN"/>
        </w:rPr>
        <w:t>3</w:t>
      </w:r>
      <w:r>
        <w:rPr>
          <w:rFonts w:hint="eastAsia" w:ascii="仿宋_GB2312" w:hAnsi="楷体" w:eastAsia="仿宋_GB2312"/>
          <w:bCs/>
          <w:kern w:val="0"/>
          <w:sz w:val="32"/>
          <w:szCs w:val="28"/>
          <w:highlight w:val="none"/>
        </w:rPr>
        <w:t>〕0202号</w:t>
      </w:r>
      <w:r>
        <w:rPr>
          <w:rFonts w:hint="eastAsia" w:ascii="仿宋_GB2312" w:hAnsi="楷体"/>
          <w:bCs/>
          <w:kern w:val="0"/>
          <w:sz w:val="32"/>
          <w:szCs w:val="28"/>
          <w:highlight w:val="none"/>
          <w:lang w:eastAsia="zh-CN"/>
        </w:rPr>
        <w:t>）</w:t>
      </w:r>
      <w:r>
        <w:rPr>
          <w:rFonts w:hint="eastAsia" w:ascii="仿宋_GB2312" w:hAnsi="楷体" w:eastAsia="仿宋_GB2312"/>
          <w:bCs/>
          <w:kern w:val="0"/>
          <w:sz w:val="32"/>
          <w:szCs w:val="28"/>
          <w:highlight w:val="none"/>
        </w:rPr>
        <w:t>，</w:t>
      </w:r>
      <w:r>
        <w:rPr>
          <w:rFonts w:hint="eastAsia" w:ascii="仿宋_GB2312" w:hAnsi="仿宋_GB2312" w:eastAsia="仿宋_GB2312" w:cs="仿宋_GB2312"/>
          <w:bCs/>
          <w:color w:val="auto"/>
          <w:kern w:val="44"/>
          <w:sz w:val="32"/>
          <w:szCs w:val="32"/>
          <w:highlight w:val="none"/>
          <w:lang w:val="en-US" w:eastAsia="zh-CN"/>
        </w:rPr>
        <w:t>该</w:t>
      </w:r>
      <w:r>
        <w:rPr>
          <w:rFonts w:hint="eastAsia" w:ascii="仿宋_GB2312" w:hAnsi="仿宋_GB2312" w:eastAsia="仿宋_GB2312" w:cs="仿宋_GB2312"/>
          <w:bCs/>
          <w:color w:val="auto"/>
          <w:kern w:val="44"/>
          <w:sz w:val="32"/>
          <w:szCs w:val="32"/>
          <w:highlight w:val="none"/>
        </w:rPr>
        <w:t>项目</w:t>
      </w:r>
      <w:r>
        <w:rPr>
          <w:rFonts w:hint="eastAsia" w:ascii="仿宋_GB2312" w:hAnsi="仿宋_GB2312" w:cs="仿宋_GB2312"/>
          <w:bCs/>
          <w:color w:val="auto"/>
          <w:kern w:val="44"/>
          <w:sz w:val="32"/>
          <w:szCs w:val="32"/>
          <w:highlight w:val="none"/>
          <w:lang w:val="en-US" w:eastAsia="zh-CN"/>
        </w:rPr>
        <w:t>年初预算</w:t>
      </w:r>
      <w:r>
        <w:rPr>
          <w:rFonts w:hint="eastAsia" w:ascii="仿宋_GB2312" w:hAnsi="仿宋_GB2312" w:eastAsia="仿宋_GB2312" w:cs="仿宋_GB2312"/>
          <w:bCs/>
          <w:color w:val="auto"/>
          <w:kern w:val="44"/>
          <w:sz w:val="32"/>
          <w:szCs w:val="32"/>
          <w:highlight w:val="none"/>
        </w:rPr>
        <w:t>批复</w:t>
      </w:r>
      <w:r>
        <w:rPr>
          <w:rFonts w:hint="eastAsia" w:ascii="仿宋_GB2312" w:hAnsi="仿宋_GB2312" w:cs="仿宋_GB2312"/>
          <w:bCs/>
          <w:color w:val="auto"/>
          <w:kern w:val="44"/>
          <w:sz w:val="32"/>
          <w:szCs w:val="32"/>
          <w:highlight w:val="none"/>
          <w:lang w:val="en-US" w:eastAsia="zh-CN"/>
        </w:rPr>
        <w:t>资金150.00</w:t>
      </w:r>
      <w:r>
        <w:rPr>
          <w:rFonts w:hint="eastAsia" w:ascii="仿宋_GB2312" w:hAnsi="仿宋_GB2312" w:eastAsia="仿宋_GB2312" w:cs="仿宋_GB2312"/>
          <w:bCs/>
          <w:color w:val="auto"/>
          <w:kern w:val="44"/>
          <w:sz w:val="32"/>
          <w:szCs w:val="32"/>
          <w:highlight w:val="none"/>
          <w:lang w:val="en-US" w:eastAsia="zh-CN"/>
        </w:rPr>
        <w:t>万元，</w:t>
      </w:r>
      <w:r>
        <w:rPr>
          <w:rFonts w:hint="eastAsia" w:ascii="仿宋_GB2312" w:hAnsi="华文仿宋" w:cs="Times New Roman"/>
          <w:sz w:val="32"/>
          <w:szCs w:val="32"/>
          <w:highlight w:val="none"/>
          <w:lang w:val="en-US" w:eastAsia="zh-CN"/>
        </w:rPr>
        <w:t>4月</w:t>
      </w:r>
      <w:r>
        <w:rPr>
          <w:rFonts w:hint="eastAsia" w:ascii="仿宋_GB2312" w:hAnsi="华文仿宋" w:cs="Times New Roman"/>
          <w:sz w:val="32"/>
          <w:szCs w:val="32"/>
          <w:lang w:val="en-US" w:eastAsia="zh-CN"/>
        </w:rPr>
        <w:t>该项目经过政府采购竞争性磋商确定了专业机构，中标金额为146.32万元。同年</w:t>
      </w:r>
      <w:r>
        <w:rPr>
          <w:rFonts w:hint="eastAsia" w:ascii="仿宋_GB2312" w:hAnsi="华文仿宋" w:eastAsia="仿宋_GB2312" w:cs="Times New Roman"/>
          <w:sz w:val="32"/>
          <w:szCs w:val="32"/>
          <w:lang w:val="en-US" w:eastAsia="zh-CN"/>
        </w:rPr>
        <w:t>9月，</w:t>
      </w:r>
      <w:r>
        <w:rPr>
          <w:rFonts w:hint="eastAsia" w:ascii="仿宋_GB2312" w:hAnsi="仿宋_GB2312" w:cs="仿宋_GB2312"/>
          <w:bCs/>
          <w:color w:val="auto"/>
          <w:kern w:val="44"/>
          <w:sz w:val="32"/>
          <w:szCs w:val="32"/>
          <w:lang w:val="en-US" w:eastAsia="zh-CN"/>
        </w:rPr>
        <w:t>将该项目招标净结余资金</w:t>
      </w:r>
      <w:r>
        <w:rPr>
          <w:rFonts w:hint="eastAsia" w:ascii="仿宋_GB2312" w:hAnsi="仿宋_GB2312" w:cs="仿宋_GB2312"/>
          <w:bCs/>
          <w:color w:val="auto"/>
          <w:kern w:val="44"/>
          <w:sz w:val="32"/>
          <w:szCs w:val="32"/>
          <w:highlight w:val="none"/>
          <w:lang w:val="en-US" w:eastAsia="zh-CN"/>
        </w:rPr>
        <w:t>3.68万元</w:t>
      </w:r>
      <w:r>
        <w:rPr>
          <w:rFonts w:hint="eastAsia" w:ascii="仿宋_GB2312" w:hAnsi="仿宋_GB2312" w:cs="仿宋_GB2312"/>
          <w:bCs/>
          <w:color w:val="auto"/>
          <w:kern w:val="44"/>
          <w:sz w:val="32"/>
          <w:szCs w:val="32"/>
          <w:lang w:val="en-US" w:eastAsia="zh-CN"/>
        </w:rPr>
        <w:t>经《北京市财政局关于核减北京市投资促进服务中心2023年部门预算的函》</w:t>
      </w:r>
      <w:r>
        <w:rPr>
          <w:rFonts w:hint="eastAsia" w:ascii="仿宋_GB2312" w:hAnsi="仿宋_GB2312" w:cs="仿宋_GB2312"/>
          <w:bCs/>
          <w:color w:val="auto"/>
          <w:kern w:val="44"/>
          <w:sz w:val="32"/>
          <w:szCs w:val="32"/>
          <w:highlight w:val="none"/>
          <w:lang w:val="en-US" w:eastAsia="zh-CN"/>
        </w:rPr>
        <w:t>（京财经建指</w:t>
      </w:r>
      <w:r>
        <w:rPr>
          <w:rFonts w:hint="eastAsia" w:ascii="仿宋_GB2312" w:hAnsi="楷体" w:eastAsia="仿宋_GB2312"/>
          <w:bCs/>
          <w:kern w:val="0"/>
          <w:sz w:val="32"/>
          <w:szCs w:val="28"/>
          <w:highlight w:val="none"/>
        </w:rPr>
        <w:t>〔202</w:t>
      </w:r>
      <w:r>
        <w:rPr>
          <w:rFonts w:hint="eastAsia" w:ascii="仿宋_GB2312" w:hAnsi="楷体"/>
          <w:bCs/>
          <w:kern w:val="0"/>
          <w:sz w:val="32"/>
          <w:szCs w:val="28"/>
          <w:highlight w:val="none"/>
          <w:lang w:val="en-US" w:eastAsia="zh-CN"/>
        </w:rPr>
        <w:t>3</w:t>
      </w:r>
      <w:r>
        <w:rPr>
          <w:rFonts w:hint="eastAsia" w:ascii="仿宋_GB2312" w:hAnsi="楷体" w:eastAsia="仿宋_GB2312"/>
          <w:bCs/>
          <w:kern w:val="0"/>
          <w:sz w:val="32"/>
          <w:szCs w:val="28"/>
          <w:highlight w:val="none"/>
        </w:rPr>
        <w:t>〕</w:t>
      </w:r>
      <w:r>
        <w:rPr>
          <w:rFonts w:hint="eastAsia" w:ascii="仿宋_GB2312" w:hAnsi="仿宋_GB2312" w:cs="仿宋_GB2312"/>
          <w:bCs/>
          <w:color w:val="auto"/>
          <w:kern w:val="44"/>
          <w:sz w:val="32"/>
          <w:szCs w:val="32"/>
          <w:highlight w:val="none"/>
          <w:lang w:val="en-US" w:eastAsia="zh-CN"/>
        </w:rPr>
        <w:t>1556号）进行核减，预算调整后，该项目全年预算资金146.32万元。</w:t>
      </w:r>
      <w:r>
        <w:rPr>
          <w:rFonts w:hint="eastAsia" w:ascii="仿宋_GB2312" w:hAnsi="仿宋_GB2312" w:eastAsia="仿宋_GB2312" w:cs="仿宋_GB2312"/>
          <w:bCs/>
          <w:color w:val="auto"/>
          <w:kern w:val="44"/>
          <w:sz w:val="32"/>
          <w:szCs w:val="32"/>
          <w:highlight w:val="none"/>
          <w:lang w:eastAsia="zh-CN"/>
        </w:rPr>
        <w:t>资金</w:t>
      </w:r>
      <w:r>
        <w:rPr>
          <w:rFonts w:hint="eastAsia" w:ascii="仿宋_GB2312" w:hAnsi="仿宋_GB2312" w:eastAsia="仿宋_GB2312" w:cs="仿宋_GB2312"/>
          <w:bCs/>
          <w:color w:val="auto"/>
          <w:kern w:val="44"/>
          <w:sz w:val="32"/>
          <w:szCs w:val="32"/>
          <w:lang w:eastAsia="zh-CN"/>
        </w:rPr>
        <w:t>到</w:t>
      </w:r>
      <w:r>
        <w:rPr>
          <w:rFonts w:hint="eastAsia" w:ascii="仿宋_GB2312" w:hAnsi="华文仿宋" w:eastAsia="仿宋_GB2312" w:cs="Times New Roman"/>
          <w:sz w:val="32"/>
          <w:szCs w:val="32"/>
          <w:lang w:eastAsia="zh-CN"/>
        </w:rPr>
        <w:t>位率为100%。</w:t>
      </w:r>
    </w:p>
    <w:p w14:paraId="1929C809">
      <w:pPr>
        <w:keepNext w:val="0"/>
        <w:keepLines w:val="0"/>
        <w:pageBreakBefore w:val="0"/>
        <w:widowControl w:val="0"/>
        <w:kinsoku/>
        <w:wordWrap/>
        <w:overflowPunct/>
        <w:topLinePunct w:val="0"/>
        <w:autoSpaceDE/>
        <w:autoSpaceDN/>
        <w:bidi w:val="0"/>
        <w:spacing w:line="560" w:lineRule="exact"/>
        <w:ind w:firstLine="707" w:firstLineChars="221"/>
        <w:rPr>
          <w:rFonts w:hint="default" w:ascii="楷体_GB2312" w:hAnsi="楷体_GB2312" w:eastAsia="仿宋_GB2312" w:cs="楷体_GB2312"/>
          <w:sz w:val="32"/>
          <w:szCs w:val="32"/>
          <w:lang w:val="en-US" w:eastAsia="zh-CN"/>
        </w:rPr>
      </w:pPr>
      <w:r>
        <w:rPr>
          <w:rFonts w:hint="eastAsia" w:ascii="仿宋_GB2312" w:hAnsi="仿宋_GB2312" w:eastAsia="仿宋_GB2312" w:cs="仿宋_GB2312"/>
          <w:bCs/>
          <w:color w:val="auto"/>
          <w:kern w:val="44"/>
          <w:sz w:val="32"/>
          <w:szCs w:val="32"/>
        </w:rPr>
        <w:t>截至20</w:t>
      </w:r>
      <w:r>
        <w:rPr>
          <w:rFonts w:hint="eastAsia" w:ascii="仿宋_GB2312" w:hAnsi="仿宋_GB2312" w:eastAsia="仿宋_GB2312" w:cs="仿宋_GB2312"/>
          <w:bCs/>
          <w:color w:val="auto"/>
          <w:kern w:val="44"/>
          <w:sz w:val="32"/>
          <w:szCs w:val="32"/>
          <w:lang w:val="en-US" w:eastAsia="zh-CN"/>
        </w:rPr>
        <w:t>2</w:t>
      </w:r>
      <w:r>
        <w:rPr>
          <w:rFonts w:hint="eastAsia" w:ascii="仿宋_GB2312" w:hAnsi="仿宋_GB2312" w:cs="仿宋_GB2312"/>
          <w:bCs/>
          <w:color w:val="auto"/>
          <w:kern w:val="44"/>
          <w:sz w:val="32"/>
          <w:szCs w:val="32"/>
          <w:lang w:val="en-US" w:eastAsia="zh-CN"/>
        </w:rPr>
        <w:t>3</w:t>
      </w:r>
      <w:r>
        <w:rPr>
          <w:rFonts w:hint="eastAsia" w:ascii="仿宋_GB2312" w:hAnsi="仿宋_GB2312" w:eastAsia="仿宋_GB2312" w:cs="仿宋_GB2312"/>
          <w:bCs/>
          <w:color w:val="auto"/>
          <w:kern w:val="44"/>
          <w:sz w:val="32"/>
          <w:szCs w:val="32"/>
        </w:rPr>
        <w:t>年</w:t>
      </w:r>
      <w:r>
        <w:rPr>
          <w:rFonts w:hint="eastAsia" w:ascii="仿宋_GB2312" w:hAnsi="仿宋_GB2312" w:eastAsia="仿宋_GB2312" w:cs="仿宋_GB2312"/>
          <w:bCs/>
          <w:color w:val="auto"/>
          <w:kern w:val="44"/>
          <w:sz w:val="32"/>
          <w:szCs w:val="32"/>
          <w:lang w:val="en-US" w:eastAsia="zh-CN"/>
        </w:rPr>
        <w:t>12</w:t>
      </w:r>
      <w:r>
        <w:rPr>
          <w:rFonts w:hint="eastAsia" w:ascii="仿宋_GB2312" w:hAnsi="仿宋_GB2312" w:eastAsia="仿宋_GB2312" w:cs="仿宋_GB2312"/>
          <w:bCs/>
          <w:color w:val="auto"/>
          <w:kern w:val="44"/>
          <w:sz w:val="32"/>
          <w:szCs w:val="32"/>
        </w:rPr>
        <w:t>月，</w:t>
      </w:r>
      <w:r>
        <w:rPr>
          <w:rFonts w:hint="eastAsia" w:ascii="仿宋_GB2312" w:hAnsi="仿宋_GB2312" w:eastAsia="仿宋_GB2312" w:cs="仿宋_GB2312"/>
          <w:bCs/>
          <w:color w:val="auto"/>
          <w:kern w:val="44"/>
          <w:sz w:val="32"/>
          <w:szCs w:val="32"/>
          <w:highlight w:val="none"/>
          <w:lang w:val="en-US" w:eastAsia="zh-CN"/>
        </w:rPr>
        <w:t>该</w:t>
      </w:r>
      <w:r>
        <w:rPr>
          <w:rFonts w:hint="eastAsia" w:ascii="仿宋_GB2312" w:hAnsi="仿宋_GB2312" w:eastAsia="仿宋_GB2312" w:cs="仿宋_GB2312"/>
          <w:bCs/>
          <w:color w:val="auto"/>
          <w:kern w:val="44"/>
          <w:sz w:val="32"/>
          <w:szCs w:val="32"/>
          <w:lang w:val="en-US" w:eastAsia="zh-CN"/>
        </w:rPr>
        <w:t>项目实际支出</w:t>
      </w:r>
      <w:r>
        <w:rPr>
          <w:rFonts w:hint="eastAsia" w:ascii="仿宋_GB2312" w:hAnsi="仿宋_GB2312" w:eastAsia="仿宋_GB2312" w:cs="仿宋_GB2312"/>
          <w:bCs/>
          <w:color w:val="auto"/>
          <w:kern w:val="44"/>
          <w:sz w:val="32"/>
          <w:szCs w:val="32"/>
        </w:rPr>
        <w:t>金额为</w:t>
      </w:r>
      <w:r>
        <w:rPr>
          <w:rFonts w:hint="eastAsia" w:ascii="仿宋_GB2312" w:hAnsi="仿宋_GB2312" w:cs="仿宋_GB2312"/>
          <w:bCs/>
          <w:color w:val="auto"/>
          <w:kern w:val="44"/>
          <w:sz w:val="32"/>
          <w:szCs w:val="32"/>
          <w:lang w:val="en-US" w:eastAsia="zh-CN"/>
        </w:rPr>
        <w:t>146.32</w:t>
      </w:r>
      <w:r>
        <w:rPr>
          <w:rFonts w:hint="eastAsia" w:ascii="仿宋_GB2312" w:hAnsi="仿宋_GB2312" w:eastAsia="仿宋_GB2312" w:cs="仿宋_GB2312"/>
          <w:bCs/>
          <w:color w:val="auto"/>
          <w:kern w:val="44"/>
          <w:sz w:val="32"/>
          <w:szCs w:val="32"/>
        </w:rPr>
        <w:t>万元，</w:t>
      </w:r>
      <w:r>
        <w:rPr>
          <w:rFonts w:hint="eastAsia" w:ascii="仿宋_GB2312" w:hAnsi="仿宋_GB2312" w:cs="仿宋_GB2312"/>
          <w:bCs/>
          <w:color w:val="auto"/>
          <w:kern w:val="44"/>
          <w:sz w:val="32"/>
          <w:szCs w:val="32"/>
          <w:lang w:val="en-US" w:eastAsia="zh-CN"/>
        </w:rPr>
        <w:t>分别于2023年6月支出73.16万元、2023年11月支出73.16万元，</w:t>
      </w:r>
      <w:r>
        <w:rPr>
          <w:rFonts w:hint="eastAsia" w:ascii="仿宋_GB2312" w:hAnsi="仿宋_GB2312" w:eastAsia="仿宋_GB2312" w:cs="仿宋_GB2312"/>
          <w:bCs/>
          <w:color w:val="auto"/>
          <w:kern w:val="44"/>
          <w:sz w:val="32"/>
          <w:szCs w:val="32"/>
        </w:rPr>
        <w:t>预算执行率</w:t>
      </w:r>
      <w:r>
        <w:rPr>
          <w:rFonts w:hint="eastAsia" w:ascii="仿宋_GB2312" w:hAnsi="仿宋_GB2312" w:cs="仿宋_GB2312"/>
          <w:bCs/>
          <w:color w:val="auto"/>
          <w:kern w:val="44"/>
          <w:sz w:val="32"/>
          <w:szCs w:val="32"/>
          <w:lang w:val="en-US" w:eastAsia="zh-CN"/>
        </w:rPr>
        <w:t>100</w:t>
      </w:r>
      <w:r>
        <w:rPr>
          <w:rFonts w:hint="eastAsia" w:ascii="仿宋_GB2312" w:hAnsi="仿宋_GB2312" w:eastAsia="仿宋_GB2312" w:cs="仿宋_GB2312"/>
          <w:bCs/>
          <w:color w:val="auto"/>
          <w:kern w:val="44"/>
          <w:sz w:val="32"/>
          <w:szCs w:val="32"/>
        </w:rPr>
        <w:t>%。</w:t>
      </w:r>
    </w:p>
    <w:p w14:paraId="6F8251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sz w:val="32"/>
          <w:szCs w:val="32"/>
          <w:lang w:val="en-US" w:eastAsia="zh-CN"/>
        </w:rPr>
      </w:pPr>
      <w:bookmarkStart w:id="6" w:name="_Toc20349"/>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项目绩效目标</w:t>
      </w:r>
      <w:bookmarkEnd w:id="6"/>
    </w:p>
    <w:p w14:paraId="3608DD5B">
      <w:pPr>
        <w:pStyle w:val="4"/>
        <w:keepNext w:val="0"/>
        <w:keepLines w:val="0"/>
        <w:pageBreakBefore w:val="0"/>
        <w:widowControl w:val="0"/>
        <w:kinsoku/>
        <w:wordWrap/>
        <w:overflowPunct/>
        <w:topLinePunct w:val="0"/>
        <w:autoSpaceDE/>
        <w:autoSpaceDN/>
        <w:bidi w:val="0"/>
        <w:spacing w:line="560" w:lineRule="exact"/>
        <w:rPr>
          <w:rFonts w:hint="eastAsia" w:ascii="仿宋_GB2312" w:hAnsi="Times New Roman" w:eastAsia="仿宋_GB2312" w:cs="仿宋_GB2312"/>
          <w:kern w:val="2"/>
          <w:sz w:val="32"/>
          <w:szCs w:val="32"/>
          <w:lang w:val="en-US" w:eastAsia="zh-CN" w:bidi="ar-SA"/>
        </w:rPr>
      </w:pPr>
      <w:r>
        <w:rPr>
          <w:rFonts w:hint="eastAsia" w:ascii="仿宋_GB2312" w:cs="仿宋_GB2312"/>
          <w:kern w:val="2"/>
          <w:sz w:val="32"/>
          <w:szCs w:val="32"/>
          <w:lang w:val="en-US" w:eastAsia="zh-CN" w:bidi="ar-SA"/>
        </w:rPr>
        <w:t>该项目年度绩效目标一是</w:t>
      </w:r>
      <w:r>
        <w:rPr>
          <w:rFonts w:hint="eastAsia" w:ascii="仿宋_GB2312" w:hAnsi="Times New Roman" w:eastAsia="仿宋_GB2312" w:cs="仿宋_GB2312"/>
          <w:kern w:val="2"/>
          <w:sz w:val="32"/>
          <w:szCs w:val="32"/>
          <w:lang w:val="en-US" w:eastAsia="zh-CN" w:bidi="ar-SA"/>
        </w:rPr>
        <w:t>为进一步方便国内外投资人和企业更加直观的了解北京市投资环境，大力营销北京经济形象、宣传首都投资环境，突出北京特色。</w:t>
      </w:r>
      <w:r>
        <w:rPr>
          <w:rFonts w:hint="eastAsia" w:ascii="仿宋_GB2312" w:cs="仿宋_GB2312"/>
          <w:kern w:val="2"/>
          <w:sz w:val="32"/>
          <w:szCs w:val="32"/>
          <w:lang w:val="en-US" w:eastAsia="zh-CN" w:bidi="ar-SA"/>
        </w:rPr>
        <w:t>二是</w:t>
      </w:r>
      <w:r>
        <w:rPr>
          <w:rFonts w:hint="eastAsia" w:ascii="仿宋_GB2312" w:hAnsi="Times New Roman" w:eastAsia="仿宋_GB2312" w:cs="仿宋_GB2312"/>
          <w:kern w:val="2"/>
          <w:sz w:val="32"/>
          <w:szCs w:val="32"/>
          <w:lang w:val="en-US" w:eastAsia="zh-CN" w:bidi="ar-SA"/>
        </w:rPr>
        <w:t>宣传北京良好的营商环境和经济形象，进一步促进高质量项目落地。</w:t>
      </w:r>
      <w:r>
        <w:rPr>
          <w:rFonts w:hint="eastAsia" w:ascii="仿宋_GB2312" w:hAnsi="仿宋_GB2312" w:eastAsia="仿宋_GB2312" w:cs="仿宋_GB2312"/>
          <w:bCs/>
          <w:color w:val="auto"/>
          <w:kern w:val="44"/>
          <w:sz w:val="32"/>
          <w:szCs w:val="32"/>
          <w:lang w:val="en-US" w:eastAsia="zh-CN"/>
        </w:rPr>
        <w:t>具体目标设定情况</w:t>
      </w:r>
      <w:r>
        <w:rPr>
          <w:rFonts w:hint="eastAsia" w:ascii="仿宋_GB2312" w:hAnsi="仿宋_GB2312" w:cs="仿宋_GB2312"/>
          <w:bCs/>
          <w:color w:val="auto"/>
          <w:kern w:val="44"/>
          <w:sz w:val="32"/>
          <w:szCs w:val="32"/>
          <w:lang w:val="en-US" w:eastAsia="zh-CN"/>
        </w:rPr>
        <w:t>，</w:t>
      </w:r>
      <w:r>
        <w:rPr>
          <w:rFonts w:hint="eastAsia" w:ascii="仿宋_GB2312" w:hAnsi="仿宋_GB2312" w:eastAsia="仿宋_GB2312" w:cs="仿宋_GB2312"/>
          <w:bCs/>
          <w:color w:val="auto"/>
          <w:kern w:val="44"/>
          <w:sz w:val="32"/>
          <w:szCs w:val="32"/>
          <w:lang w:val="en-US" w:eastAsia="zh-CN"/>
        </w:rPr>
        <w:t>详见表1：</w:t>
      </w:r>
    </w:p>
    <w:p w14:paraId="4894D26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ajorEastAsia" w:hAnsiTheme="majorEastAsia" w:eastAsiaTheme="majorEastAsia" w:cstheme="majorEastAsia"/>
          <w:bCs/>
          <w:color w:val="auto"/>
          <w:kern w:val="44"/>
          <w:sz w:val="28"/>
          <w:szCs w:val="28"/>
        </w:rPr>
      </w:pPr>
      <w:r>
        <w:rPr>
          <w:rFonts w:hint="eastAsia" w:asciiTheme="majorEastAsia" w:hAnsiTheme="majorEastAsia" w:eastAsiaTheme="majorEastAsia" w:cstheme="majorEastAsia"/>
          <w:bCs/>
          <w:color w:val="auto"/>
          <w:kern w:val="44"/>
          <w:sz w:val="28"/>
          <w:szCs w:val="28"/>
        </w:rPr>
        <w:t>表1：</w:t>
      </w:r>
      <w:r>
        <w:rPr>
          <w:rFonts w:hint="eastAsia" w:asciiTheme="majorEastAsia" w:hAnsiTheme="majorEastAsia" w:eastAsiaTheme="majorEastAsia" w:cstheme="majorEastAsia"/>
          <w:bCs/>
          <w:color w:val="auto"/>
          <w:kern w:val="44"/>
          <w:sz w:val="28"/>
          <w:szCs w:val="28"/>
          <w:lang w:val="en-US" w:eastAsia="zh-CN"/>
        </w:rPr>
        <w:t>北京市对外招商推介宣传片</w:t>
      </w:r>
      <w:r>
        <w:rPr>
          <w:rFonts w:hint="eastAsia" w:asciiTheme="majorEastAsia" w:hAnsiTheme="majorEastAsia" w:eastAsiaTheme="majorEastAsia" w:cstheme="majorEastAsia"/>
          <w:bCs/>
          <w:color w:val="auto"/>
          <w:kern w:val="44"/>
          <w:sz w:val="28"/>
          <w:szCs w:val="28"/>
          <w:lang w:val="en-US" w:eastAsia="zh-CN"/>
        </w:rPr>
        <w:br w:type="textWrapping"/>
      </w:r>
      <w:r>
        <w:rPr>
          <w:rFonts w:hint="eastAsia" w:asciiTheme="majorEastAsia" w:hAnsiTheme="majorEastAsia" w:eastAsiaTheme="majorEastAsia" w:cstheme="majorEastAsia"/>
          <w:bCs/>
          <w:color w:val="auto"/>
          <w:kern w:val="44"/>
          <w:sz w:val="28"/>
          <w:szCs w:val="28"/>
        </w:rPr>
        <w:t>项目20</w:t>
      </w:r>
      <w:r>
        <w:rPr>
          <w:rFonts w:hint="eastAsia" w:asciiTheme="majorEastAsia" w:hAnsiTheme="majorEastAsia" w:eastAsiaTheme="majorEastAsia" w:cstheme="majorEastAsia"/>
          <w:bCs/>
          <w:color w:val="auto"/>
          <w:kern w:val="44"/>
          <w:sz w:val="28"/>
          <w:szCs w:val="28"/>
          <w:lang w:val="en-US" w:eastAsia="zh-CN"/>
        </w:rPr>
        <w:t>23</w:t>
      </w:r>
      <w:r>
        <w:rPr>
          <w:rFonts w:hint="eastAsia" w:asciiTheme="majorEastAsia" w:hAnsiTheme="majorEastAsia" w:eastAsiaTheme="majorEastAsia" w:cstheme="majorEastAsia"/>
          <w:bCs/>
          <w:color w:val="auto"/>
          <w:kern w:val="44"/>
          <w:sz w:val="28"/>
          <w:szCs w:val="28"/>
        </w:rPr>
        <w:t>年绩效目标设定情况</w:t>
      </w:r>
    </w:p>
    <w:tbl>
      <w:tblPr>
        <w:tblStyle w:val="15"/>
        <w:tblW w:w="4997" w:type="pct"/>
        <w:tblInd w:w="0" w:type="dxa"/>
        <w:tblLayout w:type="autofit"/>
        <w:tblCellMar>
          <w:top w:w="0" w:type="dxa"/>
          <w:left w:w="108" w:type="dxa"/>
          <w:bottom w:w="0" w:type="dxa"/>
          <w:right w:w="108" w:type="dxa"/>
        </w:tblCellMar>
      </w:tblPr>
      <w:tblGrid>
        <w:gridCol w:w="1479"/>
        <w:gridCol w:w="1718"/>
        <w:gridCol w:w="3328"/>
        <w:gridCol w:w="1992"/>
      </w:tblGrid>
      <w:tr w14:paraId="5C173C1C">
        <w:tblPrEx>
          <w:tblCellMar>
            <w:top w:w="0" w:type="dxa"/>
            <w:left w:w="108" w:type="dxa"/>
            <w:bottom w:w="0" w:type="dxa"/>
            <w:right w:w="108" w:type="dxa"/>
          </w:tblCellMar>
        </w:tblPrEx>
        <w:trPr>
          <w:trHeight w:val="312" w:hRule="atLeast"/>
        </w:trPr>
        <w:tc>
          <w:tcPr>
            <w:tcW w:w="868" w:type="pct"/>
            <w:vMerge w:val="restart"/>
            <w:tcBorders>
              <w:top w:val="single" w:color="000000" w:sz="4" w:space="0"/>
              <w:left w:val="single" w:color="000000" w:sz="4" w:space="0"/>
              <w:bottom w:val="single" w:color="000000" w:sz="4" w:space="0"/>
              <w:right w:val="single" w:color="000000" w:sz="4" w:space="0"/>
            </w:tcBorders>
            <w:noWrap w:val="0"/>
            <w:vAlign w:val="center"/>
          </w:tcPr>
          <w:p w14:paraId="43935633">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val="0"/>
                <w:bCs/>
                <w:kern w:val="0"/>
                <w:sz w:val="24"/>
                <w:szCs w:val="24"/>
              </w:rPr>
            </w:pPr>
            <w:r>
              <w:rPr>
                <w:rFonts w:hint="eastAsia" w:asciiTheme="majorEastAsia" w:hAnsiTheme="majorEastAsia" w:eastAsiaTheme="majorEastAsia" w:cstheme="majorEastAsia"/>
                <w:b w:val="0"/>
                <w:bCs/>
                <w:kern w:val="0"/>
                <w:sz w:val="24"/>
                <w:szCs w:val="24"/>
              </w:rPr>
              <w:t>一级指标</w:t>
            </w:r>
          </w:p>
        </w:tc>
        <w:tc>
          <w:tcPr>
            <w:tcW w:w="1008" w:type="pct"/>
            <w:vMerge w:val="restart"/>
            <w:tcBorders>
              <w:top w:val="single" w:color="000000" w:sz="4" w:space="0"/>
              <w:left w:val="single" w:color="000000" w:sz="4" w:space="0"/>
              <w:bottom w:val="single" w:color="000000" w:sz="4" w:space="0"/>
              <w:right w:val="single" w:color="000000" w:sz="4" w:space="0"/>
            </w:tcBorders>
            <w:noWrap w:val="0"/>
            <w:vAlign w:val="center"/>
          </w:tcPr>
          <w:p w14:paraId="720271BF">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val="0"/>
                <w:bCs/>
                <w:kern w:val="0"/>
                <w:sz w:val="24"/>
                <w:szCs w:val="24"/>
              </w:rPr>
            </w:pPr>
            <w:r>
              <w:rPr>
                <w:rFonts w:hint="eastAsia" w:asciiTheme="majorEastAsia" w:hAnsiTheme="majorEastAsia" w:eastAsiaTheme="majorEastAsia" w:cstheme="majorEastAsia"/>
                <w:b w:val="0"/>
                <w:bCs/>
                <w:kern w:val="0"/>
                <w:sz w:val="24"/>
                <w:szCs w:val="24"/>
              </w:rPr>
              <w:t>二级指标</w:t>
            </w:r>
          </w:p>
        </w:tc>
        <w:tc>
          <w:tcPr>
            <w:tcW w:w="1953" w:type="pct"/>
            <w:vMerge w:val="restart"/>
            <w:tcBorders>
              <w:top w:val="single" w:color="000000" w:sz="4" w:space="0"/>
              <w:left w:val="single" w:color="000000" w:sz="4" w:space="0"/>
              <w:bottom w:val="single" w:color="000000" w:sz="4" w:space="0"/>
              <w:right w:val="single" w:color="000000" w:sz="4" w:space="0"/>
            </w:tcBorders>
            <w:noWrap w:val="0"/>
            <w:vAlign w:val="center"/>
          </w:tcPr>
          <w:p w14:paraId="2B8C0A42">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val="0"/>
                <w:bCs/>
                <w:kern w:val="0"/>
                <w:sz w:val="24"/>
                <w:szCs w:val="24"/>
              </w:rPr>
            </w:pPr>
            <w:r>
              <w:rPr>
                <w:rFonts w:hint="eastAsia" w:asciiTheme="majorEastAsia" w:hAnsiTheme="majorEastAsia" w:eastAsiaTheme="majorEastAsia" w:cstheme="majorEastAsia"/>
                <w:b w:val="0"/>
                <w:bCs/>
                <w:kern w:val="0"/>
                <w:sz w:val="24"/>
                <w:szCs w:val="24"/>
              </w:rPr>
              <w:t>三级指标</w:t>
            </w:r>
          </w:p>
        </w:tc>
        <w:tc>
          <w:tcPr>
            <w:tcW w:w="1169" w:type="pct"/>
            <w:vMerge w:val="restart"/>
            <w:tcBorders>
              <w:top w:val="single" w:color="000000" w:sz="4" w:space="0"/>
              <w:left w:val="single" w:color="000000" w:sz="4" w:space="0"/>
              <w:bottom w:val="single" w:color="000000" w:sz="4" w:space="0"/>
              <w:right w:val="single" w:color="000000" w:sz="4" w:space="0"/>
            </w:tcBorders>
            <w:noWrap w:val="0"/>
            <w:vAlign w:val="center"/>
          </w:tcPr>
          <w:p w14:paraId="7A106E48">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val="0"/>
                <w:bCs/>
                <w:kern w:val="0"/>
                <w:sz w:val="24"/>
                <w:szCs w:val="24"/>
              </w:rPr>
            </w:pPr>
            <w:r>
              <w:rPr>
                <w:rFonts w:hint="eastAsia" w:asciiTheme="majorEastAsia" w:hAnsiTheme="majorEastAsia" w:eastAsiaTheme="majorEastAsia" w:cstheme="majorEastAsia"/>
                <w:b w:val="0"/>
                <w:bCs/>
                <w:kern w:val="0"/>
                <w:sz w:val="24"/>
                <w:szCs w:val="24"/>
              </w:rPr>
              <w:t>年度指标值</w:t>
            </w:r>
          </w:p>
        </w:tc>
      </w:tr>
      <w:tr w14:paraId="6B8D8C06">
        <w:tblPrEx>
          <w:tblCellMar>
            <w:top w:w="0" w:type="dxa"/>
            <w:left w:w="108" w:type="dxa"/>
            <w:bottom w:w="0" w:type="dxa"/>
            <w:right w:w="108" w:type="dxa"/>
          </w:tblCellMar>
        </w:tblPrEx>
        <w:trPr>
          <w:trHeight w:val="312" w:hRule="atLeast"/>
        </w:trPr>
        <w:tc>
          <w:tcPr>
            <w:tcW w:w="868" w:type="pct"/>
            <w:vMerge w:val="continue"/>
            <w:tcBorders>
              <w:top w:val="single" w:color="000000" w:sz="4" w:space="0"/>
              <w:left w:val="single" w:color="000000" w:sz="4" w:space="0"/>
              <w:bottom w:val="single" w:color="auto" w:sz="4" w:space="0"/>
              <w:right w:val="single" w:color="000000" w:sz="4" w:space="0"/>
            </w:tcBorders>
            <w:noWrap w:val="0"/>
            <w:vAlign w:val="center"/>
          </w:tcPr>
          <w:p w14:paraId="11B6C80A">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008"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961A05">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9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5A6FBC">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1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C64D20">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r>
      <w:tr w14:paraId="7EF960DE">
        <w:tblPrEx>
          <w:tblCellMar>
            <w:top w:w="0" w:type="dxa"/>
            <w:left w:w="108" w:type="dxa"/>
            <w:bottom w:w="0" w:type="dxa"/>
            <w:right w:w="108" w:type="dxa"/>
          </w:tblCellMar>
        </w:tblPrEx>
        <w:trPr>
          <w:trHeight w:val="380" w:hRule="atLeast"/>
        </w:trPr>
        <w:tc>
          <w:tcPr>
            <w:tcW w:w="868" w:type="pct"/>
            <w:vMerge w:val="restart"/>
            <w:tcBorders>
              <w:top w:val="single" w:color="auto" w:sz="4" w:space="0"/>
              <w:left w:val="single" w:color="auto" w:sz="4" w:space="0"/>
              <w:bottom w:val="single" w:color="auto" w:sz="4" w:space="0"/>
              <w:right w:val="single" w:color="auto" w:sz="4" w:space="0"/>
            </w:tcBorders>
            <w:noWrap w:val="0"/>
            <w:vAlign w:val="center"/>
          </w:tcPr>
          <w:p w14:paraId="70321530">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产出指标</w:t>
            </w:r>
          </w:p>
        </w:tc>
        <w:tc>
          <w:tcPr>
            <w:tcW w:w="1008" w:type="pct"/>
            <w:tcBorders>
              <w:top w:val="single" w:color="000000" w:sz="4" w:space="0"/>
              <w:left w:val="single" w:color="auto" w:sz="4" w:space="0"/>
              <w:bottom w:val="single" w:color="000000" w:sz="4" w:space="0"/>
              <w:right w:val="single" w:color="000000" w:sz="4" w:space="0"/>
            </w:tcBorders>
            <w:noWrap w:val="0"/>
            <w:vAlign w:val="center"/>
          </w:tcPr>
          <w:p w14:paraId="1A5D30F0">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数量指标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3BE42E3A">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宣传片配乐短版</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2E1AC84D">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=2分钟</w:t>
            </w:r>
          </w:p>
        </w:tc>
      </w:tr>
      <w:tr w14:paraId="1D39D7F1">
        <w:tblPrEx>
          <w:tblCellMar>
            <w:top w:w="0" w:type="dxa"/>
            <w:left w:w="108" w:type="dxa"/>
            <w:bottom w:w="0" w:type="dxa"/>
            <w:right w:w="108" w:type="dxa"/>
          </w:tblCellMar>
        </w:tblPrEx>
        <w:trPr>
          <w:trHeight w:val="380" w:hRule="atLeast"/>
        </w:trPr>
        <w:tc>
          <w:tcPr>
            <w:tcW w:w="868" w:type="pct"/>
            <w:vMerge w:val="continue"/>
            <w:tcBorders>
              <w:top w:val="single" w:color="auto" w:sz="4" w:space="0"/>
              <w:left w:val="single" w:color="auto" w:sz="4" w:space="0"/>
              <w:bottom w:val="single" w:color="auto" w:sz="4" w:space="0"/>
              <w:right w:val="single" w:color="auto" w:sz="4" w:space="0"/>
            </w:tcBorders>
            <w:noWrap w:val="0"/>
            <w:vAlign w:val="center"/>
          </w:tcPr>
          <w:p w14:paraId="2D59C3DB">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008" w:type="pct"/>
            <w:tcBorders>
              <w:top w:val="single" w:color="000000" w:sz="4" w:space="0"/>
              <w:left w:val="single" w:color="auto" w:sz="4" w:space="0"/>
              <w:bottom w:val="single" w:color="000000" w:sz="4" w:space="0"/>
              <w:right w:val="single" w:color="000000" w:sz="4" w:space="0"/>
            </w:tcBorders>
            <w:noWrap w:val="0"/>
            <w:vAlign w:val="center"/>
          </w:tcPr>
          <w:p w14:paraId="4A26066F">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数量指标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6A79E05B">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宣传片中英文长版</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04BE9CC4">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=8分钟</w:t>
            </w:r>
          </w:p>
        </w:tc>
      </w:tr>
      <w:tr w14:paraId="19DA896C">
        <w:tblPrEx>
          <w:tblCellMar>
            <w:top w:w="0" w:type="dxa"/>
            <w:left w:w="108" w:type="dxa"/>
            <w:bottom w:w="0" w:type="dxa"/>
            <w:right w:w="108" w:type="dxa"/>
          </w:tblCellMar>
        </w:tblPrEx>
        <w:trPr>
          <w:trHeight w:val="460" w:hRule="atLeast"/>
        </w:trPr>
        <w:tc>
          <w:tcPr>
            <w:tcW w:w="868" w:type="pct"/>
            <w:vMerge w:val="continue"/>
            <w:tcBorders>
              <w:top w:val="single" w:color="auto" w:sz="4" w:space="0"/>
              <w:left w:val="single" w:color="auto" w:sz="4" w:space="0"/>
              <w:bottom w:val="single" w:color="auto" w:sz="4" w:space="0"/>
              <w:right w:val="single" w:color="auto" w:sz="4" w:space="0"/>
            </w:tcBorders>
            <w:noWrap w:val="0"/>
            <w:vAlign w:val="center"/>
          </w:tcPr>
          <w:p w14:paraId="5C17719F">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008" w:type="pct"/>
            <w:tcBorders>
              <w:top w:val="single" w:color="000000" w:sz="4" w:space="0"/>
              <w:left w:val="single" w:color="auto" w:sz="4" w:space="0"/>
              <w:bottom w:val="single" w:color="000000" w:sz="4" w:space="0"/>
              <w:right w:val="single" w:color="000000" w:sz="4" w:space="0"/>
            </w:tcBorders>
            <w:noWrap w:val="0"/>
            <w:vAlign w:val="center"/>
          </w:tcPr>
          <w:p w14:paraId="2F68DFD3">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质量指标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1B39E7FA">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宣传、展示北京经济形象，吸引优质项目落户；为我中心承办、参与的京（境）内外大型投资促进活动提供支持</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57127FFE">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优良中低差</w:t>
            </w:r>
          </w:p>
        </w:tc>
      </w:tr>
      <w:tr w14:paraId="627D0D41">
        <w:tblPrEx>
          <w:tblCellMar>
            <w:top w:w="0" w:type="dxa"/>
            <w:left w:w="108" w:type="dxa"/>
            <w:bottom w:w="0" w:type="dxa"/>
            <w:right w:w="108" w:type="dxa"/>
          </w:tblCellMar>
        </w:tblPrEx>
        <w:trPr>
          <w:trHeight w:val="440" w:hRule="atLeast"/>
        </w:trPr>
        <w:tc>
          <w:tcPr>
            <w:tcW w:w="868" w:type="pct"/>
            <w:vMerge w:val="continue"/>
            <w:tcBorders>
              <w:top w:val="single" w:color="auto" w:sz="4" w:space="0"/>
              <w:left w:val="single" w:color="auto" w:sz="4" w:space="0"/>
              <w:bottom w:val="single" w:color="auto" w:sz="4" w:space="0"/>
              <w:right w:val="single" w:color="auto" w:sz="4" w:space="0"/>
            </w:tcBorders>
            <w:noWrap w:val="0"/>
            <w:vAlign w:val="center"/>
          </w:tcPr>
          <w:p w14:paraId="0C06561B">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008" w:type="pct"/>
            <w:tcBorders>
              <w:top w:val="single" w:color="000000" w:sz="4" w:space="0"/>
              <w:left w:val="single" w:color="auto" w:sz="4" w:space="0"/>
              <w:bottom w:val="single" w:color="000000" w:sz="4" w:space="0"/>
              <w:right w:val="single" w:color="000000" w:sz="4" w:space="0"/>
            </w:tcBorders>
            <w:noWrap w:val="0"/>
            <w:vAlign w:val="center"/>
          </w:tcPr>
          <w:p w14:paraId="3C85670A">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时效指标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47BCF37C">
            <w:pPr>
              <w:keepNext w:val="0"/>
              <w:keepLines w:val="0"/>
              <w:pageBreakBefore w:val="0"/>
              <w:widowControl w:val="0"/>
              <w:suppressLineNumbers w:val="0"/>
              <w:kinsoku/>
              <w:wordWrap/>
              <w:overflowPunct/>
              <w:topLinePunct w:val="0"/>
              <w:autoSpaceDE/>
              <w:autoSpaceDN/>
              <w:bidi w:val="0"/>
              <w:spacing w:line="560" w:lineRule="exact"/>
              <w:jc w:val="center"/>
              <w:textAlignment w:val="center"/>
              <w:rPr>
                <w:rFonts w:hint="eastAsia" w:asciiTheme="majorEastAsia" w:hAnsiTheme="majorEastAsia" w:eastAsiaTheme="majorEastAsia" w:cstheme="majorEastAsia"/>
                <w:kern w:val="0"/>
                <w:sz w:val="24"/>
                <w:szCs w:val="24"/>
                <w:lang w:val="en-US"/>
              </w:rPr>
            </w:pPr>
            <w:r>
              <w:rPr>
                <w:rFonts w:hint="eastAsia" w:asciiTheme="majorEastAsia" w:hAnsiTheme="majorEastAsia" w:eastAsiaTheme="majorEastAsia" w:cstheme="majorEastAsia"/>
                <w:i w:val="0"/>
                <w:iCs w:val="0"/>
                <w:color w:val="000000"/>
                <w:kern w:val="0"/>
                <w:sz w:val="24"/>
                <w:szCs w:val="24"/>
                <w:u w:val="none"/>
                <w:lang w:val="en-US" w:eastAsia="zh-CN" w:bidi="ar"/>
              </w:rPr>
              <w:t>完成时间</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54D365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2023年11月底前</w:t>
            </w:r>
          </w:p>
        </w:tc>
      </w:tr>
      <w:tr w14:paraId="5EB4DC49">
        <w:tblPrEx>
          <w:tblCellMar>
            <w:top w:w="0" w:type="dxa"/>
            <w:left w:w="108" w:type="dxa"/>
            <w:bottom w:w="0" w:type="dxa"/>
            <w:right w:w="108" w:type="dxa"/>
          </w:tblCellMar>
        </w:tblPrEx>
        <w:trPr>
          <w:trHeight w:val="480" w:hRule="atLeast"/>
        </w:trPr>
        <w:tc>
          <w:tcPr>
            <w:tcW w:w="868" w:type="pct"/>
            <w:vMerge w:val="continue"/>
            <w:tcBorders>
              <w:top w:val="single" w:color="auto" w:sz="4" w:space="0"/>
              <w:left w:val="single" w:color="auto" w:sz="4" w:space="0"/>
              <w:bottom w:val="single" w:color="auto" w:sz="4" w:space="0"/>
              <w:right w:val="single" w:color="auto" w:sz="4" w:space="0"/>
            </w:tcBorders>
            <w:noWrap w:val="0"/>
            <w:vAlign w:val="center"/>
          </w:tcPr>
          <w:p w14:paraId="1B7B36D3">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p>
        </w:tc>
        <w:tc>
          <w:tcPr>
            <w:tcW w:w="1008" w:type="pct"/>
            <w:tcBorders>
              <w:top w:val="single" w:color="000000" w:sz="4" w:space="0"/>
              <w:left w:val="single" w:color="auto" w:sz="4" w:space="0"/>
              <w:bottom w:val="single" w:color="000000" w:sz="4" w:space="0"/>
              <w:right w:val="single" w:color="000000" w:sz="4" w:space="0"/>
            </w:tcBorders>
            <w:noWrap w:val="0"/>
            <w:vAlign w:val="center"/>
          </w:tcPr>
          <w:p w14:paraId="33EBE389">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成本指标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6FEB88B4">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预算控制数</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7C907F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w:t>
            </w:r>
            <w:r>
              <w:rPr>
                <w:rFonts w:hint="eastAsia" w:asciiTheme="majorEastAsia" w:hAnsiTheme="majorEastAsia" w:eastAsiaTheme="majorEastAsia" w:cstheme="majorEastAsia"/>
                <w:kern w:val="0"/>
                <w:sz w:val="24"/>
                <w:szCs w:val="24"/>
                <w:lang w:val="en-US" w:eastAsia="zh-CN"/>
              </w:rPr>
              <w:t>146.32</w:t>
            </w:r>
            <w:r>
              <w:rPr>
                <w:rFonts w:hint="eastAsia" w:asciiTheme="majorEastAsia" w:hAnsiTheme="majorEastAsia" w:eastAsiaTheme="majorEastAsia" w:cstheme="majorEastAsia"/>
                <w:kern w:val="0"/>
                <w:sz w:val="24"/>
                <w:szCs w:val="24"/>
              </w:rPr>
              <w:t>万元</w:t>
            </w:r>
          </w:p>
        </w:tc>
      </w:tr>
      <w:tr w14:paraId="2677122E">
        <w:tblPrEx>
          <w:tblCellMar>
            <w:top w:w="0" w:type="dxa"/>
            <w:left w:w="108" w:type="dxa"/>
            <w:bottom w:w="0" w:type="dxa"/>
            <w:right w:w="108" w:type="dxa"/>
          </w:tblCellMar>
        </w:tblPrEx>
        <w:trPr>
          <w:trHeight w:val="820" w:hRule="atLeast"/>
        </w:trPr>
        <w:tc>
          <w:tcPr>
            <w:tcW w:w="868" w:type="pct"/>
            <w:tcBorders>
              <w:top w:val="single" w:color="auto" w:sz="4" w:space="0"/>
              <w:left w:val="single" w:color="000000" w:sz="4" w:space="0"/>
              <w:bottom w:val="single" w:color="auto" w:sz="4" w:space="0"/>
              <w:right w:val="single" w:color="000000" w:sz="4" w:space="0"/>
            </w:tcBorders>
            <w:noWrap w:val="0"/>
            <w:vAlign w:val="center"/>
          </w:tcPr>
          <w:p w14:paraId="4FBEBA79">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效益指标</w:t>
            </w:r>
          </w:p>
        </w:tc>
        <w:tc>
          <w:tcPr>
            <w:tcW w:w="1008" w:type="pct"/>
            <w:tcBorders>
              <w:top w:val="single" w:color="000000" w:sz="4" w:space="0"/>
              <w:left w:val="single" w:color="000000" w:sz="4" w:space="0"/>
              <w:bottom w:val="single" w:color="000000" w:sz="4" w:space="0"/>
              <w:right w:val="single" w:color="000000" w:sz="4" w:space="0"/>
            </w:tcBorders>
            <w:noWrap w:val="0"/>
            <w:vAlign w:val="center"/>
          </w:tcPr>
          <w:p w14:paraId="44344E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社会效益指标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0023DE21">
            <w:pPr>
              <w:keepNext w:val="0"/>
              <w:keepLines w:val="0"/>
              <w:pageBreakBefore w:val="0"/>
              <w:widowControl w:val="0"/>
              <w:suppressLineNumbers w:val="0"/>
              <w:kinsoku/>
              <w:wordWrap/>
              <w:overflowPunct/>
              <w:topLinePunct w:val="0"/>
              <w:autoSpaceDE/>
              <w:autoSpaceDN/>
              <w:bidi w:val="0"/>
              <w:adjustRightInd/>
              <w:snapToGrid/>
              <w:spacing w:line="560" w:lineRule="exact"/>
              <w:jc w:val="left"/>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展示首都投资促进形象，推动北京经济发展；营造良好的营商环境；强化首都投资促进系统的工作统筹</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5B3F1CE7">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优良中低差</w:t>
            </w:r>
          </w:p>
        </w:tc>
      </w:tr>
      <w:tr w14:paraId="437BFCE3">
        <w:tblPrEx>
          <w:tblCellMar>
            <w:top w:w="0" w:type="dxa"/>
            <w:left w:w="108" w:type="dxa"/>
            <w:bottom w:w="0" w:type="dxa"/>
            <w:right w:w="108" w:type="dxa"/>
          </w:tblCellMar>
        </w:tblPrEx>
        <w:trPr>
          <w:trHeight w:val="440" w:hRule="atLeast"/>
        </w:trPr>
        <w:tc>
          <w:tcPr>
            <w:tcW w:w="868" w:type="pct"/>
            <w:tcBorders>
              <w:top w:val="single" w:color="auto" w:sz="4" w:space="0"/>
              <w:left w:val="single" w:color="000000" w:sz="4" w:space="0"/>
              <w:bottom w:val="single" w:color="auto" w:sz="4" w:space="0"/>
              <w:right w:val="single" w:color="000000" w:sz="4" w:space="0"/>
            </w:tcBorders>
            <w:noWrap w:val="0"/>
            <w:vAlign w:val="center"/>
          </w:tcPr>
          <w:p w14:paraId="7FC111D1">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满意度指标</w:t>
            </w:r>
          </w:p>
        </w:tc>
        <w:tc>
          <w:tcPr>
            <w:tcW w:w="1008" w:type="pct"/>
            <w:tcBorders>
              <w:top w:val="single" w:color="000000" w:sz="4" w:space="0"/>
              <w:left w:val="single" w:color="000000" w:sz="4" w:space="0"/>
              <w:bottom w:val="single" w:color="000000" w:sz="4" w:space="0"/>
              <w:right w:val="single" w:color="000000" w:sz="4" w:space="0"/>
            </w:tcBorders>
            <w:noWrap w:val="0"/>
            <w:vAlign w:val="center"/>
          </w:tcPr>
          <w:p w14:paraId="00CCD0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val="en-US" w:eastAsia="zh-CN"/>
              </w:rPr>
              <w:t>服务对象满意度指</w:t>
            </w:r>
            <w:r>
              <w:rPr>
                <w:rFonts w:hint="eastAsia" w:asciiTheme="majorEastAsia" w:hAnsiTheme="majorEastAsia" w:eastAsiaTheme="majorEastAsia" w:cstheme="majorEastAsia"/>
                <w:kern w:val="0"/>
                <w:sz w:val="24"/>
                <w:szCs w:val="24"/>
              </w:rPr>
              <w:t>标</w:t>
            </w:r>
          </w:p>
        </w:tc>
        <w:tc>
          <w:tcPr>
            <w:tcW w:w="1953" w:type="pct"/>
            <w:tcBorders>
              <w:top w:val="single" w:color="000000" w:sz="4" w:space="0"/>
              <w:left w:val="single" w:color="000000" w:sz="4" w:space="0"/>
              <w:bottom w:val="single" w:color="000000" w:sz="4" w:space="0"/>
              <w:right w:val="single" w:color="000000" w:sz="4" w:space="0"/>
            </w:tcBorders>
            <w:noWrap w:val="0"/>
            <w:vAlign w:val="center"/>
          </w:tcPr>
          <w:p w14:paraId="61C473AC">
            <w:pPr>
              <w:keepNext w:val="0"/>
              <w:keepLines w:val="0"/>
              <w:pageBreakBefore w:val="0"/>
              <w:widowControl w:val="0"/>
              <w:suppressLineNumbers w:val="0"/>
              <w:kinsoku/>
              <w:wordWrap/>
              <w:overflowPunct/>
              <w:topLinePunct w:val="0"/>
              <w:autoSpaceDE/>
              <w:autoSpaceDN/>
              <w:bidi w:val="0"/>
              <w:adjustRightInd/>
              <w:snapToGrid/>
              <w:spacing w:line="560" w:lineRule="exact"/>
              <w:jc w:val="left"/>
              <w:textAlignment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i w:val="0"/>
                <w:iCs w:val="0"/>
                <w:color w:val="000000"/>
                <w:kern w:val="0"/>
                <w:sz w:val="24"/>
                <w:szCs w:val="24"/>
                <w:u w:val="none"/>
                <w:lang w:val="en-US" w:eastAsia="zh-CN" w:bidi="ar"/>
              </w:rPr>
              <w:t>投资人、企业满意；领导满意</w:t>
            </w:r>
          </w:p>
        </w:tc>
        <w:tc>
          <w:tcPr>
            <w:tcW w:w="1169" w:type="pct"/>
            <w:tcBorders>
              <w:top w:val="single" w:color="000000" w:sz="4" w:space="0"/>
              <w:left w:val="single" w:color="000000" w:sz="4" w:space="0"/>
              <w:bottom w:val="single" w:color="000000" w:sz="4" w:space="0"/>
              <w:right w:val="single" w:color="000000" w:sz="4" w:space="0"/>
            </w:tcBorders>
            <w:noWrap w:val="0"/>
            <w:vAlign w:val="center"/>
          </w:tcPr>
          <w:p w14:paraId="1FC0525E">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优良中低差</w:t>
            </w:r>
          </w:p>
        </w:tc>
      </w:tr>
    </w:tbl>
    <w:p w14:paraId="7A5691AA">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ascii="黑体" w:hAnsi="黑体" w:eastAsia="黑体" w:cs="黑体"/>
          <w:sz w:val="32"/>
          <w:szCs w:val="32"/>
        </w:rPr>
      </w:pPr>
      <w:bookmarkStart w:id="7" w:name="_Toc22611"/>
      <w:bookmarkStart w:id="8" w:name="_Toc2985"/>
      <w:r>
        <w:rPr>
          <w:rFonts w:hint="eastAsia" w:ascii="黑体" w:hAnsi="黑体" w:eastAsia="黑体" w:cs="黑体"/>
          <w:sz w:val="32"/>
          <w:szCs w:val="32"/>
        </w:rPr>
        <w:t>二、绩效评价工作开展情况</w:t>
      </w:r>
      <w:bookmarkEnd w:id="7"/>
      <w:bookmarkEnd w:id="8"/>
    </w:p>
    <w:p w14:paraId="403FD869">
      <w:pPr>
        <w:pStyle w:val="4"/>
        <w:keepNext w:val="0"/>
        <w:keepLines w:val="0"/>
        <w:pageBreakBefore w:val="0"/>
        <w:widowControl w:val="0"/>
        <w:kinsoku/>
        <w:wordWrap/>
        <w:overflowPunct/>
        <w:topLinePunct w:val="0"/>
        <w:autoSpaceDE/>
        <w:autoSpaceDN/>
        <w:bidi w:val="0"/>
        <w:spacing w:line="560" w:lineRule="exact"/>
        <w:ind w:firstLine="640"/>
        <w:outlineLvl w:val="1"/>
        <w:rPr>
          <w:rFonts w:hint="eastAsia" w:ascii="楷体_GB2312" w:hAnsi="楷体_GB2312" w:eastAsia="楷体_GB2312" w:cs="楷体_GB2312"/>
          <w:b/>
          <w:bCs/>
          <w:kern w:val="44"/>
          <w:sz w:val="32"/>
          <w:szCs w:val="32"/>
          <w:lang w:val="en-US" w:eastAsia="zh-CN" w:bidi="ar-SA"/>
        </w:rPr>
      </w:pPr>
      <w:bookmarkStart w:id="9" w:name="_Toc16340"/>
      <w:bookmarkStart w:id="10" w:name="_Toc6063"/>
      <w:r>
        <w:rPr>
          <w:rFonts w:hint="eastAsia" w:ascii="楷体_GB2312" w:hAnsi="楷体_GB2312" w:eastAsia="楷体_GB2312" w:cs="楷体_GB2312"/>
          <w:b/>
          <w:bCs/>
          <w:kern w:val="44"/>
          <w:sz w:val="32"/>
          <w:szCs w:val="32"/>
          <w:lang w:val="en-US" w:eastAsia="zh-CN" w:bidi="ar-SA"/>
        </w:rPr>
        <w:t>（一）绩效评价目的、对象和范围</w:t>
      </w:r>
      <w:bookmarkEnd w:id="9"/>
      <w:bookmarkEnd w:id="10"/>
    </w:p>
    <w:p w14:paraId="6FDE7FA4">
      <w:pPr>
        <w:pStyle w:val="4"/>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cs="仿宋_GB2312"/>
          <w:b/>
          <w:bCs/>
          <w:kern w:val="2"/>
          <w:sz w:val="32"/>
          <w:szCs w:val="32"/>
          <w:lang w:val="en-US" w:eastAsia="zh-CN" w:bidi="ar-SA"/>
        </w:rPr>
      </w:pPr>
      <w:r>
        <w:rPr>
          <w:rFonts w:hint="eastAsia" w:ascii="仿宋_GB2312" w:cs="仿宋_GB2312"/>
          <w:b/>
          <w:bCs/>
          <w:kern w:val="2"/>
          <w:sz w:val="32"/>
          <w:szCs w:val="32"/>
          <w:lang w:val="en-US" w:eastAsia="zh-CN" w:bidi="ar-SA"/>
        </w:rPr>
        <w:t>1.绩效评价目的</w:t>
      </w:r>
    </w:p>
    <w:p w14:paraId="24EB14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cs="仿宋_GB2312"/>
          <w:kern w:val="2"/>
          <w:sz w:val="32"/>
          <w:szCs w:val="32"/>
          <w:lang w:val="en-US" w:eastAsia="zh-CN" w:bidi="ar-SA"/>
        </w:rPr>
      </w:pPr>
      <w:r>
        <w:rPr>
          <w:rFonts w:hint="eastAsia" w:ascii="仿宋_GB2312" w:hAnsi="仿宋_GB2312" w:eastAsia="仿宋_GB2312" w:cs="仿宋_GB2312"/>
          <w:b w:val="0"/>
          <w:bCs w:val="0"/>
          <w:color w:val="auto"/>
          <w:kern w:val="44"/>
          <w:sz w:val="32"/>
          <w:szCs w:val="32"/>
          <w:lang w:val="en-US" w:eastAsia="zh-CN"/>
        </w:rPr>
        <w:t>该项目评价目的为：一是加强预算绩效管理，强化支出责任，提高财政资金使用</w:t>
      </w:r>
      <w:r>
        <w:rPr>
          <w:rFonts w:hint="eastAsia" w:ascii="仿宋_GB2312" w:hAnsi="仿宋_GB2312" w:eastAsia="仿宋_GB2312" w:cs="仿宋_GB2312"/>
          <w:bCs/>
          <w:color w:val="auto"/>
          <w:kern w:val="44"/>
          <w:sz w:val="32"/>
          <w:szCs w:val="32"/>
          <w:lang w:val="en-US" w:eastAsia="zh-CN"/>
        </w:rPr>
        <w:t>效益；二是进一步总结和分析项目资</w:t>
      </w:r>
      <w:r>
        <w:rPr>
          <w:rFonts w:hint="eastAsia" w:ascii="仿宋_GB2312" w:hAnsi="仿宋_GB2312" w:eastAsia="仿宋_GB2312" w:cs="仿宋_GB2312"/>
          <w:bCs/>
          <w:color w:val="auto"/>
          <w:kern w:val="44"/>
          <w:sz w:val="32"/>
          <w:szCs w:val="32"/>
        </w:rPr>
        <w:t>金的实施效果，检验财政支出预期目标实现程度，考核财政支出效率和综合效果；三是为</w:t>
      </w:r>
      <w:r>
        <w:rPr>
          <w:rFonts w:hint="eastAsia" w:ascii="仿宋_GB2312" w:hAnsi="仿宋_GB2312" w:cs="仿宋_GB2312"/>
          <w:bCs/>
          <w:color w:val="auto"/>
          <w:kern w:val="44"/>
          <w:sz w:val="32"/>
          <w:szCs w:val="32"/>
          <w:lang w:val="en-US" w:eastAsia="zh-CN"/>
        </w:rPr>
        <w:t>市投资促进中心</w:t>
      </w:r>
      <w:r>
        <w:rPr>
          <w:rFonts w:hint="eastAsia" w:ascii="仿宋_GB2312" w:hAnsi="仿宋_GB2312" w:eastAsia="仿宋_GB2312" w:cs="仿宋_GB2312"/>
          <w:bCs/>
          <w:color w:val="auto"/>
          <w:kern w:val="44"/>
          <w:sz w:val="32"/>
          <w:szCs w:val="32"/>
        </w:rPr>
        <w:t>以后年度相关项目提供参考依据。</w:t>
      </w:r>
    </w:p>
    <w:p w14:paraId="79B9CB62">
      <w:pPr>
        <w:pStyle w:val="4"/>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default" w:ascii="仿宋_GB2312" w:cs="仿宋_GB2312"/>
          <w:b/>
          <w:bCs/>
          <w:kern w:val="2"/>
          <w:sz w:val="32"/>
          <w:szCs w:val="32"/>
          <w:lang w:val="en-US" w:eastAsia="zh-CN" w:bidi="ar-SA"/>
        </w:rPr>
      </w:pPr>
      <w:r>
        <w:rPr>
          <w:rFonts w:hint="eastAsia" w:ascii="仿宋_GB2312" w:cs="仿宋_GB2312"/>
          <w:b/>
          <w:bCs/>
          <w:kern w:val="2"/>
          <w:sz w:val="32"/>
          <w:szCs w:val="32"/>
          <w:lang w:val="en-US" w:eastAsia="zh-CN" w:bidi="ar-SA"/>
        </w:rPr>
        <w:t>2.绩效评价对象和范围</w:t>
      </w:r>
    </w:p>
    <w:p w14:paraId="0195218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cs="仿宋_GB2312"/>
          <w:color w:val="000000"/>
          <w:kern w:val="0"/>
          <w:sz w:val="32"/>
          <w:szCs w:val="32"/>
          <w:lang w:val="en-US" w:eastAsia="zh-CN"/>
        </w:rPr>
        <w:t>北京市对外招商推介宣传片</w:t>
      </w:r>
      <w:r>
        <w:rPr>
          <w:rFonts w:hint="eastAsia" w:ascii="仿宋_GB2312" w:hAnsi="仿宋_GB2312" w:eastAsia="仿宋_GB2312" w:cs="仿宋_GB2312"/>
          <w:color w:val="000000"/>
          <w:kern w:val="0"/>
          <w:sz w:val="32"/>
          <w:szCs w:val="32"/>
        </w:rPr>
        <w:t>项目</w:t>
      </w:r>
      <w:r>
        <w:rPr>
          <w:rFonts w:hint="eastAsia" w:ascii="仿宋_GB2312" w:hAnsi="仿宋_GB2312" w:eastAsia="仿宋_GB2312" w:cs="仿宋_GB2312"/>
          <w:bCs/>
          <w:color w:val="auto"/>
          <w:kern w:val="44"/>
          <w:sz w:val="32"/>
          <w:szCs w:val="32"/>
        </w:rPr>
        <w:t>，</w:t>
      </w:r>
      <w:r>
        <w:rPr>
          <w:rFonts w:hint="eastAsia" w:ascii="仿宋_GB2312" w:hAnsi="仿宋_GB2312" w:cs="仿宋_GB2312"/>
          <w:bCs/>
          <w:color w:val="auto"/>
          <w:kern w:val="44"/>
          <w:sz w:val="32"/>
          <w:szCs w:val="32"/>
          <w:lang w:val="en-US" w:eastAsia="zh-CN"/>
        </w:rPr>
        <w:t>涉及</w:t>
      </w:r>
      <w:r>
        <w:rPr>
          <w:rFonts w:hint="eastAsia" w:ascii="仿宋_GB2312" w:hAnsi="仿宋_GB2312" w:eastAsia="仿宋_GB2312" w:cs="仿宋_GB2312"/>
          <w:bCs/>
          <w:color w:val="auto"/>
          <w:kern w:val="44"/>
          <w:sz w:val="32"/>
          <w:szCs w:val="32"/>
        </w:rPr>
        <w:t>项目资金</w:t>
      </w:r>
      <w:r>
        <w:rPr>
          <w:rFonts w:hint="eastAsia" w:ascii="仿宋_GB2312" w:hAnsi="仿宋_GB2312" w:cs="仿宋_GB2312"/>
          <w:bCs/>
          <w:color w:val="auto"/>
          <w:kern w:val="44"/>
          <w:sz w:val="32"/>
          <w:szCs w:val="32"/>
          <w:lang w:val="en-US" w:eastAsia="zh-CN"/>
        </w:rPr>
        <w:t>146.32</w:t>
      </w:r>
      <w:r>
        <w:rPr>
          <w:rFonts w:hint="eastAsia" w:ascii="仿宋_GB2312" w:hAnsi="仿宋_GB2312" w:eastAsia="仿宋_GB2312" w:cs="仿宋_GB2312"/>
          <w:bCs/>
          <w:color w:val="auto"/>
          <w:kern w:val="44"/>
          <w:sz w:val="32"/>
          <w:szCs w:val="32"/>
        </w:rPr>
        <w:t>万元。</w:t>
      </w:r>
      <w:r>
        <w:rPr>
          <w:rFonts w:hint="default" w:ascii="仿宋_GB2312" w:hAnsi="仿宋_GB2312" w:eastAsia="仿宋_GB2312" w:cs="仿宋_GB2312"/>
          <w:sz w:val="32"/>
          <w:szCs w:val="32"/>
          <w:lang w:val="en-US" w:eastAsia="zh-CN"/>
        </w:rPr>
        <w:t>绩效评价的范围主要</w:t>
      </w:r>
      <w:r>
        <w:rPr>
          <w:rFonts w:hint="eastAsia" w:ascii="仿宋_GB2312" w:hAnsi="仿宋_GB2312" w:eastAsia="仿宋_GB2312" w:cs="仿宋_GB2312"/>
          <w:bCs/>
          <w:sz w:val="32"/>
          <w:szCs w:val="32"/>
          <w:highlight w:val="none"/>
          <w:lang w:val="en-US" w:eastAsia="zh-CN"/>
        </w:rPr>
        <w:t>从项目决策、项目过程、项目产出、项目效益四个方面进行综合评价。</w:t>
      </w:r>
    </w:p>
    <w:p w14:paraId="2F9D093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cs="仿宋_GB2312"/>
          <w:bCs/>
          <w:sz w:val="32"/>
          <w:szCs w:val="32"/>
          <w:highlight w:val="none"/>
          <w:lang w:val="en-US" w:eastAsia="zh-CN"/>
        </w:rPr>
        <w:t>（1）</w:t>
      </w:r>
      <w:r>
        <w:rPr>
          <w:rFonts w:hint="eastAsia" w:ascii="仿宋_GB2312" w:hAnsi="仿宋_GB2312" w:eastAsia="仿宋_GB2312" w:cs="仿宋_GB2312"/>
          <w:bCs/>
          <w:sz w:val="32"/>
          <w:szCs w:val="32"/>
          <w:highlight w:val="none"/>
          <w:lang w:val="en-US" w:eastAsia="zh-CN"/>
        </w:rPr>
        <w:t>项目决策方面。重点关注项目立项依据是否充分、立项程序是否规范，绩效目标设置是否合理、绩效指标是否明确，预算编制是否科学、资金分配是否合理。</w:t>
      </w:r>
    </w:p>
    <w:p w14:paraId="46D2E0B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cs="仿宋_GB2312"/>
          <w:bCs/>
          <w:sz w:val="32"/>
          <w:szCs w:val="32"/>
          <w:highlight w:val="none"/>
          <w:lang w:val="en-US" w:eastAsia="zh-CN"/>
        </w:rPr>
        <w:t>（2）</w:t>
      </w:r>
      <w:r>
        <w:rPr>
          <w:rFonts w:hint="eastAsia" w:ascii="仿宋_GB2312" w:hAnsi="仿宋_GB2312" w:eastAsia="仿宋_GB2312" w:cs="仿宋_GB2312"/>
          <w:bCs/>
          <w:sz w:val="32"/>
          <w:szCs w:val="32"/>
          <w:highlight w:val="none"/>
          <w:lang w:val="en-US" w:eastAsia="zh-CN"/>
        </w:rPr>
        <w:t>项目过程方面。重点关注资金管理情况、预算执行情况、资金规范运行情况，政府采购执行情况，对承接主体的管理情况，项目管理制度建设情况。</w:t>
      </w:r>
    </w:p>
    <w:p w14:paraId="3A09B57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lang w:val="en-US" w:eastAsia="zh-CN"/>
        </w:rPr>
        <w:t>项目产出方面。重点关注项目实际完成情况、质量达标情况、产出时效情况以及成本控制与节约情况。</w:t>
      </w:r>
    </w:p>
    <w:p w14:paraId="6A149AF1">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仿宋_GB2312" w:hAnsi="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lang w:val="en-US" w:eastAsia="zh-CN"/>
        </w:rPr>
        <w:t>项目效益方面。重点关注项目实施所产生的效益以及服务对象对项目实施效果的满意程度等情况。</w:t>
      </w:r>
    </w:p>
    <w:p w14:paraId="3D46559F">
      <w:pPr>
        <w:keepNext w:val="0"/>
        <w:keepLines w:val="0"/>
        <w:pageBreakBefore w:val="0"/>
        <w:widowControl w:val="0"/>
        <w:kinsoku/>
        <w:wordWrap/>
        <w:overflowPunct/>
        <w:topLinePunct w:val="0"/>
        <w:autoSpaceDE/>
        <w:autoSpaceDN/>
        <w:bidi w:val="0"/>
        <w:spacing w:line="560" w:lineRule="exact"/>
        <w:ind w:firstLine="643" w:firstLineChars="200"/>
        <w:outlineLvl w:val="1"/>
        <w:rPr>
          <w:rFonts w:hint="eastAsia" w:ascii="楷体_GB2312" w:hAnsi="楷体_GB2312" w:eastAsia="楷体_GB2312" w:cs="楷体_GB2312"/>
          <w:b/>
          <w:bCs/>
          <w:kern w:val="44"/>
          <w:sz w:val="32"/>
          <w:szCs w:val="32"/>
        </w:rPr>
      </w:pPr>
      <w:bookmarkStart w:id="11" w:name="_Toc7379"/>
      <w:bookmarkStart w:id="12" w:name="_Toc131402220"/>
      <w:bookmarkStart w:id="13" w:name="_Toc28981"/>
      <w:bookmarkStart w:id="14" w:name="_Toc29740"/>
      <w:r>
        <w:rPr>
          <w:rFonts w:hint="eastAsia" w:ascii="楷体_GB2312" w:hAnsi="楷体_GB2312" w:eastAsia="楷体_GB2312" w:cs="楷体_GB2312"/>
          <w:b/>
          <w:bCs/>
          <w:kern w:val="44"/>
          <w:sz w:val="32"/>
          <w:szCs w:val="32"/>
          <w:lang w:eastAsia="zh-CN"/>
        </w:rPr>
        <w:t>（</w:t>
      </w:r>
      <w:r>
        <w:rPr>
          <w:rFonts w:hint="eastAsia" w:ascii="楷体_GB2312" w:hAnsi="楷体_GB2312" w:eastAsia="楷体_GB2312" w:cs="楷体_GB2312"/>
          <w:b/>
          <w:bCs/>
          <w:kern w:val="44"/>
          <w:sz w:val="32"/>
          <w:szCs w:val="32"/>
          <w:lang w:val="en-US" w:eastAsia="zh-CN"/>
        </w:rPr>
        <w:t>二</w:t>
      </w:r>
      <w:r>
        <w:rPr>
          <w:rFonts w:hint="eastAsia" w:ascii="楷体_GB2312" w:hAnsi="楷体_GB2312" w:eastAsia="楷体_GB2312" w:cs="楷体_GB2312"/>
          <w:b/>
          <w:bCs/>
          <w:kern w:val="44"/>
          <w:sz w:val="32"/>
          <w:szCs w:val="32"/>
          <w:lang w:eastAsia="zh-CN"/>
        </w:rPr>
        <w:t>）</w:t>
      </w:r>
      <w:r>
        <w:rPr>
          <w:rFonts w:hint="eastAsia" w:ascii="楷体_GB2312" w:hAnsi="楷体_GB2312" w:eastAsia="楷体_GB2312" w:cs="楷体_GB2312"/>
          <w:b/>
          <w:bCs/>
          <w:kern w:val="44"/>
          <w:sz w:val="32"/>
          <w:szCs w:val="32"/>
        </w:rPr>
        <w:t>绩效评价原则、评价方法、评价指标体系、评价标准</w:t>
      </w:r>
      <w:bookmarkEnd w:id="11"/>
      <w:bookmarkEnd w:id="12"/>
      <w:bookmarkEnd w:id="13"/>
      <w:bookmarkEnd w:id="14"/>
    </w:p>
    <w:p w14:paraId="7670E18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1</w:t>
      </w:r>
      <w:r>
        <w:rPr>
          <w:rFonts w:hint="eastAsia" w:ascii="仿宋_GB2312" w:hAnsi="仿宋_GB2312" w:eastAsia="仿宋_GB2312" w:cs="仿宋_GB2312"/>
          <w:b/>
          <w:bCs/>
          <w:color w:val="auto"/>
          <w:kern w:val="44"/>
          <w:sz w:val="32"/>
          <w:szCs w:val="32"/>
        </w:rPr>
        <w:t>.</w:t>
      </w:r>
      <w:r>
        <w:rPr>
          <w:rFonts w:hint="eastAsia" w:ascii="仿宋_GB2312" w:hAnsi="仿宋_GB2312" w:eastAsia="仿宋_GB2312" w:cs="仿宋_GB2312"/>
          <w:b/>
          <w:bCs/>
          <w:color w:val="auto"/>
          <w:kern w:val="44"/>
          <w:sz w:val="32"/>
          <w:szCs w:val="32"/>
          <w:lang w:val="en-US" w:eastAsia="zh-CN"/>
        </w:rPr>
        <w:t>绩效</w:t>
      </w:r>
      <w:r>
        <w:rPr>
          <w:rFonts w:hint="eastAsia" w:ascii="仿宋_GB2312" w:hAnsi="仿宋_GB2312" w:eastAsia="仿宋_GB2312" w:cs="仿宋_GB2312"/>
          <w:b/>
          <w:bCs/>
          <w:color w:val="auto"/>
          <w:kern w:val="44"/>
          <w:sz w:val="32"/>
          <w:szCs w:val="32"/>
        </w:rPr>
        <w:t>评价</w:t>
      </w:r>
      <w:r>
        <w:rPr>
          <w:rFonts w:hint="eastAsia" w:ascii="仿宋_GB2312" w:hAnsi="仿宋_GB2312" w:eastAsia="仿宋_GB2312" w:cs="仿宋_GB2312"/>
          <w:b/>
          <w:bCs/>
          <w:color w:val="auto"/>
          <w:kern w:val="44"/>
          <w:sz w:val="32"/>
          <w:szCs w:val="32"/>
          <w:lang w:val="en-US" w:eastAsia="zh-CN"/>
        </w:rPr>
        <w:t>原则、评价方法</w:t>
      </w:r>
    </w:p>
    <w:p w14:paraId="60DFDB93">
      <w:pPr>
        <w:keepNext w:val="0"/>
        <w:keepLines w:val="0"/>
        <w:pageBreakBefore w:val="0"/>
        <w:widowControl w:val="0"/>
        <w:kinsoku/>
        <w:wordWrap/>
        <w:overflowPunct/>
        <w:topLinePunct w:val="0"/>
        <w:autoSpaceDE/>
        <w:autoSpaceDN/>
        <w:bidi w:val="0"/>
        <w:spacing w:line="560" w:lineRule="exact"/>
        <w:ind w:firstLine="640" w:firstLineChars="200"/>
        <w:rPr>
          <w:rFonts w:hint="default" w:ascii="仿宋_GB2312" w:hAnsi="仿宋_GB2312" w:eastAsia="仿宋_GB2312" w:cs="仿宋_GB2312"/>
          <w:bCs/>
          <w:color w:val="auto"/>
          <w:kern w:val="44"/>
          <w:sz w:val="32"/>
          <w:szCs w:val="32"/>
          <w:lang w:val="en-US" w:eastAsia="zh-CN"/>
        </w:rPr>
      </w:pPr>
      <w:r>
        <w:rPr>
          <w:rFonts w:hint="eastAsia" w:ascii="仿宋_GB2312" w:hAnsi="仿宋_GB2312" w:cs="仿宋_GB2312"/>
          <w:sz w:val="32"/>
          <w:szCs w:val="32"/>
        </w:rPr>
        <w:t>为深入贯彻落实北京市财政局（以下简称“市财政局”）《关于印发进一步深化项目支出绩效预算管理改革的意见的通知》（京财预〔2017〕2944号）等文件精神，依据《北京市项目支出绩效评价管理办法》（京财绩效〔2020〕2146号），</w:t>
      </w:r>
      <w:r>
        <w:rPr>
          <w:rFonts w:hint="default" w:ascii="仿宋_GB2312" w:hAnsi="仿宋_GB2312" w:eastAsia="仿宋_GB2312" w:cs="仿宋_GB2312"/>
          <w:bCs/>
          <w:color w:val="auto"/>
          <w:kern w:val="44"/>
          <w:sz w:val="32"/>
          <w:szCs w:val="32"/>
          <w:lang w:val="en-US" w:eastAsia="zh-CN"/>
        </w:rPr>
        <w:t>本次评价本着问题导向、系统评价、科学客观、讲求绩效的原则，采用全面评价和重点评价相结合、现场评价和非现场评价相结合、定性分析与定量分析相结合的方式，运用比较分析、</w:t>
      </w:r>
      <w:r>
        <w:rPr>
          <w:rFonts w:hint="eastAsia" w:ascii="仿宋_GB2312" w:hAnsi="仿宋_GB2312" w:cs="仿宋_GB2312"/>
          <w:bCs/>
          <w:color w:val="auto"/>
          <w:kern w:val="44"/>
          <w:sz w:val="32"/>
          <w:szCs w:val="32"/>
          <w:lang w:val="en-US" w:eastAsia="zh-CN"/>
        </w:rPr>
        <w:t>因素分析及</w:t>
      </w:r>
      <w:r>
        <w:rPr>
          <w:rFonts w:hint="default" w:ascii="仿宋_GB2312" w:hAnsi="仿宋_GB2312" w:eastAsia="仿宋_GB2312" w:cs="仿宋_GB2312"/>
          <w:bCs/>
          <w:color w:val="auto"/>
          <w:kern w:val="44"/>
          <w:sz w:val="32"/>
          <w:szCs w:val="32"/>
          <w:lang w:val="en-US" w:eastAsia="zh-CN"/>
        </w:rPr>
        <w:t>专家</w:t>
      </w:r>
      <w:r>
        <w:rPr>
          <w:rFonts w:hint="eastAsia" w:ascii="仿宋_GB2312" w:hAnsi="仿宋_GB2312" w:cs="仿宋_GB2312"/>
          <w:bCs/>
          <w:color w:val="auto"/>
          <w:kern w:val="44"/>
          <w:sz w:val="32"/>
          <w:szCs w:val="32"/>
          <w:lang w:val="en-US" w:eastAsia="zh-CN"/>
        </w:rPr>
        <w:t>评价</w:t>
      </w:r>
      <w:r>
        <w:rPr>
          <w:rFonts w:hint="default" w:ascii="仿宋_GB2312" w:hAnsi="仿宋_GB2312" w:eastAsia="仿宋_GB2312" w:cs="仿宋_GB2312"/>
          <w:bCs/>
          <w:color w:val="auto"/>
          <w:kern w:val="44"/>
          <w:sz w:val="32"/>
          <w:szCs w:val="32"/>
          <w:lang w:val="en-US" w:eastAsia="zh-CN"/>
        </w:rPr>
        <w:t>等方法，对项目决策、过程、产出、效益四方面进行综合评价。</w:t>
      </w:r>
    </w:p>
    <w:p w14:paraId="24D124E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ascii="仿宋_GB2312" w:hAnsi="宋体" w:eastAsia="仿宋_GB2312" w:cs="仿宋_GB2312"/>
          <w:color w:val="000000"/>
          <w:kern w:val="0"/>
          <w:sz w:val="31"/>
          <w:szCs w:val="31"/>
          <w:lang w:val="en-US" w:eastAsia="zh-CN" w:bidi="ar"/>
        </w:rPr>
      </w:pPr>
      <w:r>
        <w:rPr>
          <w:rFonts w:hint="eastAsia" w:ascii="仿宋_GB2312" w:hAnsi="仿宋_GB2312" w:eastAsia="仿宋_GB2312" w:cs="仿宋_GB2312"/>
          <w:b/>
          <w:bCs/>
          <w:color w:val="auto"/>
          <w:kern w:val="44"/>
          <w:sz w:val="32"/>
          <w:szCs w:val="32"/>
        </w:rPr>
        <w:t>2.</w:t>
      </w:r>
      <w:r>
        <w:rPr>
          <w:rFonts w:hint="eastAsia" w:ascii="仿宋_GB2312" w:hAnsi="仿宋_GB2312" w:eastAsia="仿宋_GB2312" w:cs="仿宋_GB2312"/>
          <w:b/>
          <w:bCs/>
          <w:color w:val="auto"/>
          <w:kern w:val="44"/>
          <w:sz w:val="32"/>
          <w:szCs w:val="32"/>
          <w:lang w:val="en-US" w:eastAsia="zh-CN"/>
        </w:rPr>
        <w:t>绩效</w:t>
      </w:r>
      <w:r>
        <w:rPr>
          <w:rFonts w:hint="eastAsia" w:ascii="仿宋_GB2312" w:hAnsi="仿宋_GB2312" w:eastAsia="仿宋_GB2312" w:cs="仿宋_GB2312"/>
          <w:b/>
          <w:bCs/>
          <w:color w:val="auto"/>
          <w:kern w:val="44"/>
          <w:sz w:val="32"/>
          <w:szCs w:val="32"/>
        </w:rPr>
        <w:t>评价指标体系、评价标准</w:t>
      </w:r>
    </w:p>
    <w:p w14:paraId="01B7EA60">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rPr>
        <w:t>评价工作组按照“相关性、重要性、可比性、系统性”原则，结合项目特点，</w:t>
      </w:r>
      <w:r>
        <w:rPr>
          <w:rFonts w:hint="eastAsia" w:ascii="仿宋_GB2312" w:hAnsi="仿宋_GB2312" w:cs="仿宋_GB2312"/>
          <w:sz w:val="32"/>
          <w:szCs w:val="32"/>
          <w:lang w:val="en-US" w:eastAsia="zh-CN"/>
        </w:rPr>
        <w:t>在与专家组、项目单位充分协商的基础上，</w:t>
      </w:r>
      <w:r>
        <w:rPr>
          <w:rFonts w:hint="eastAsia" w:ascii="仿宋_GB2312" w:hAnsi="仿宋_GB2312" w:eastAsia="仿宋_GB2312" w:cs="仿宋_GB2312"/>
          <w:bCs/>
          <w:color w:val="auto"/>
          <w:kern w:val="44"/>
          <w:sz w:val="32"/>
          <w:szCs w:val="32"/>
          <w:lang w:val="en-US" w:eastAsia="zh-CN"/>
        </w:rPr>
        <w:t>按照绩效评价</w:t>
      </w:r>
      <w:r>
        <w:rPr>
          <w:rFonts w:hint="eastAsia" w:ascii="仿宋_GB2312" w:eastAsia="仿宋_GB2312"/>
          <w:sz w:val="32"/>
          <w:szCs w:val="32"/>
        </w:rPr>
        <w:t>计划标准</w:t>
      </w:r>
      <w:r>
        <w:rPr>
          <w:rFonts w:hint="eastAsia" w:ascii="仿宋_GB2312" w:eastAsia="仿宋_GB2312"/>
          <w:sz w:val="32"/>
          <w:szCs w:val="32"/>
          <w:lang w:val="en-US" w:eastAsia="zh-CN"/>
        </w:rPr>
        <w:t>即</w:t>
      </w:r>
      <w:r>
        <w:rPr>
          <w:rFonts w:hint="eastAsia" w:ascii="仿宋_GB2312" w:eastAsia="仿宋_GB2312"/>
          <w:sz w:val="32"/>
          <w:szCs w:val="32"/>
        </w:rPr>
        <w:t>以</w:t>
      </w:r>
      <w:r>
        <w:rPr>
          <w:rFonts w:hint="eastAsia" w:ascii="仿宋_GB2312" w:eastAsia="仿宋_GB2312"/>
          <w:sz w:val="32"/>
          <w:szCs w:val="32"/>
          <w:lang w:val="en-US" w:eastAsia="zh-CN"/>
        </w:rPr>
        <w:t>该项目</w:t>
      </w:r>
      <w:r>
        <w:rPr>
          <w:rFonts w:hint="eastAsia" w:ascii="仿宋_GB2312" w:eastAsia="仿宋_GB2312"/>
          <w:sz w:val="32"/>
          <w:szCs w:val="32"/>
        </w:rPr>
        <w:t>预先制定的目标、计划、预算、定额作为评价标准</w:t>
      </w:r>
      <w:r>
        <w:rPr>
          <w:rFonts w:hint="eastAsia" w:ascii="仿宋_GB2312" w:eastAsia="仿宋_GB2312"/>
          <w:sz w:val="32"/>
          <w:szCs w:val="32"/>
          <w:lang w:eastAsia="zh-CN"/>
        </w:rPr>
        <w:t>，</w:t>
      </w:r>
      <w:r>
        <w:rPr>
          <w:rFonts w:hint="eastAsia" w:ascii="仿宋_GB2312" w:eastAsia="仿宋_GB2312"/>
          <w:sz w:val="32"/>
          <w:szCs w:val="32"/>
          <w:lang w:val="en-US" w:eastAsia="zh-CN"/>
        </w:rPr>
        <w:t>最终</w:t>
      </w:r>
      <w:r>
        <w:rPr>
          <w:rFonts w:hint="eastAsia" w:ascii="仿宋_GB2312" w:hAnsi="仿宋_GB2312" w:eastAsia="仿宋_GB2312" w:cs="仿宋_GB2312"/>
          <w:bCs/>
          <w:color w:val="auto"/>
          <w:kern w:val="44"/>
          <w:sz w:val="32"/>
          <w:szCs w:val="32"/>
        </w:rPr>
        <w:t>确定了绩效评价项目的绩效评价指标体系</w:t>
      </w:r>
      <w:r>
        <w:rPr>
          <w:rFonts w:hint="eastAsia" w:ascii="仿宋_GB2312" w:hAnsi="仿宋_GB2312" w:cs="仿宋_GB2312"/>
          <w:sz w:val="32"/>
          <w:szCs w:val="32"/>
        </w:rPr>
        <w:t>。</w:t>
      </w:r>
      <w:r>
        <w:rPr>
          <w:rFonts w:hint="eastAsia" w:ascii="仿宋_GB2312" w:hAnsi="仿宋_GB2312" w:cs="仿宋_GB2312"/>
          <w:sz w:val="32"/>
          <w:szCs w:val="32"/>
          <w:lang w:val="en-US" w:eastAsia="zh-CN"/>
        </w:rPr>
        <w:t>具体见表2：</w:t>
      </w:r>
    </w:p>
    <w:p w14:paraId="557E0CB0">
      <w:pPr>
        <w:spacing w:line="240" w:lineRule="auto"/>
        <w:ind w:firstLine="0" w:firstLineChars="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br w:type="page"/>
      </w:r>
    </w:p>
    <w:p w14:paraId="0A49AFE3">
      <w:pPr>
        <w:spacing w:line="560" w:lineRule="exact"/>
        <w:ind w:firstLine="562" w:firstLineChars="200"/>
        <w:jc w:val="center"/>
        <w:rPr>
          <w:rFonts w:hint="eastAsia"/>
          <w:sz w:val="28"/>
          <w:szCs w:val="28"/>
        </w:rPr>
      </w:pPr>
      <w:r>
        <w:rPr>
          <w:rFonts w:hint="eastAsia" w:ascii="宋体" w:hAnsi="宋体" w:eastAsia="宋体" w:cs="宋体"/>
          <w:b/>
          <w:bCs/>
          <w:kern w:val="0"/>
          <w:sz w:val="28"/>
          <w:szCs w:val="28"/>
          <w:lang w:val="en-US" w:eastAsia="zh-CN"/>
        </w:rPr>
        <w:t>表2：</w:t>
      </w:r>
      <w:r>
        <w:rPr>
          <w:rFonts w:hint="eastAsia" w:ascii="宋体" w:hAnsi="宋体" w:eastAsia="宋体" w:cs="宋体"/>
          <w:b/>
          <w:bCs/>
          <w:kern w:val="0"/>
          <w:sz w:val="28"/>
          <w:szCs w:val="28"/>
        </w:rPr>
        <w:t>项目绩效评价指标体系表</w:t>
      </w:r>
    </w:p>
    <w:tbl>
      <w:tblPr>
        <w:tblStyle w:val="15"/>
        <w:tblW w:w="8813" w:type="dxa"/>
        <w:tblInd w:w="-34" w:type="dxa"/>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6"/>
        <w:gridCol w:w="1276"/>
        <w:gridCol w:w="2410"/>
        <w:gridCol w:w="992"/>
        <w:gridCol w:w="2859"/>
      </w:tblGrid>
      <w:tr w14:paraId="46280203">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trPr>
        <w:tc>
          <w:tcPr>
            <w:tcW w:w="1276" w:type="dxa"/>
            <w:tcBorders>
              <w:tl2br w:val="nil"/>
              <w:tr2bl w:val="nil"/>
            </w:tcBorders>
            <w:noWrap/>
            <w:vAlign w:val="center"/>
          </w:tcPr>
          <w:p w14:paraId="38E5DDD3">
            <w:pPr>
              <w:widowControl/>
              <w:spacing w:line="560" w:lineRule="exact"/>
              <w:jc w:val="center"/>
              <w:textAlignment w:val="center"/>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kern w:val="0"/>
                <w:sz w:val="24"/>
                <w:szCs w:val="24"/>
                <w:lang w:bidi="ar"/>
              </w:rPr>
              <w:t>一级指标</w:t>
            </w:r>
          </w:p>
        </w:tc>
        <w:tc>
          <w:tcPr>
            <w:tcW w:w="1276" w:type="dxa"/>
            <w:tcBorders>
              <w:tl2br w:val="nil"/>
              <w:tr2bl w:val="nil"/>
            </w:tcBorders>
            <w:noWrap/>
            <w:vAlign w:val="center"/>
          </w:tcPr>
          <w:p w14:paraId="2C075A05">
            <w:pPr>
              <w:widowControl/>
              <w:spacing w:line="560" w:lineRule="exact"/>
              <w:jc w:val="center"/>
              <w:textAlignment w:val="center"/>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kern w:val="0"/>
                <w:sz w:val="24"/>
                <w:szCs w:val="24"/>
                <w:lang w:bidi="ar"/>
              </w:rPr>
              <w:t>二级指标</w:t>
            </w:r>
          </w:p>
        </w:tc>
        <w:tc>
          <w:tcPr>
            <w:tcW w:w="2410" w:type="dxa"/>
            <w:tcBorders>
              <w:tl2br w:val="nil"/>
              <w:tr2bl w:val="nil"/>
            </w:tcBorders>
            <w:noWrap/>
            <w:vAlign w:val="center"/>
          </w:tcPr>
          <w:p w14:paraId="479C2313">
            <w:pPr>
              <w:widowControl/>
              <w:spacing w:line="560" w:lineRule="exact"/>
              <w:jc w:val="center"/>
              <w:textAlignment w:val="center"/>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kern w:val="0"/>
                <w:sz w:val="24"/>
                <w:szCs w:val="24"/>
                <w:lang w:bidi="ar"/>
              </w:rPr>
              <w:t>三级指标</w:t>
            </w:r>
          </w:p>
        </w:tc>
        <w:tc>
          <w:tcPr>
            <w:tcW w:w="992" w:type="dxa"/>
            <w:tcBorders>
              <w:tl2br w:val="nil"/>
              <w:tr2bl w:val="nil"/>
            </w:tcBorders>
            <w:noWrap/>
            <w:vAlign w:val="center"/>
          </w:tcPr>
          <w:p w14:paraId="3586ED29">
            <w:pPr>
              <w:widowControl/>
              <w:spacing w:line="560" w:lineRule="exact"/>
              <w:jc w:val="center"/>
              <w:textAlignment w:val="center"/>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kern w:val="0"/>
                <w:sz w:val="24"/>
                <w:szCs w:val="24"/>
                <w:lang w:bidi="ar"/>
              </w:rPr>
              <w:t>分值</w:t>
            </w:r>
          </w:p>
        </w:tc>
        <w:tc>
          <w:tcPr>
            <w:tcW w:w="2859" w:type="dxa"/>
            <w:tcBorders>
              <w:tl2br w:val="nil"/>
              <w:tr2bl w:val="nil"/>
            </w:tcBorders>
            <w:noWrap w:val="0"/>
            <w:vAlign w:val="center"/>
          </w:tcPr>
          <w:p w14:paraId="6C5C63B1">
            <w:pPr>
              <w:widowControl/>
              <w:spacing w:line="560" w:lineRule="exact"/>
              <w:jc w:val="center"/>
              <w:textAlignment w:val="center"/>
              <w:rPr>
                <w:rFonts w:hint="eastAsia" w:asciiTheme="majorEastAsia" w:hAnsiTheme="majorEastAsia" w:eastAsiaTheme="majorEastAsia" w:cstheme="majorEastAsia"/>
                <w:b/>
                <w:bCs/>
                <w:color w:val="00000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bidi="ar"/>
              </w:rPr>
              <w:t>指标解释</w:t>
            </w:r>
          </w:p>
        </w:tc>
      </w:tr>
      <w:tr w14:paraId="474DE6B0">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restart"/>
            <w:tcBorders>
              <w:tl2br w:val="nil"/>
              <w:tr2bl w:val="nil"/>
            </w:tcBorders>
            <w:noWrap w:val="0"/>
            <w:vAlign w:val="center"/>
          </w:tcPr>
          <w:p w14:paraId="56C3058B">
            <w:pPr>
              <w:widowControl/>
              <w:spacing w:line="560" w:lineRule="exact"/>
              <w:jc w:val="center"/>
              <w:textAlignment w:val="center"/>
              <w:rPr>
                <w:rFonts w:hint="eastAsia" w:asciiTheme="majorEastAsia" w:hAnsiTheme="majorEastAsia" w:eastAsiaTheme="majorEastAsia" w:cstheme="majorEastAsia"/>
                <w:color w:val="000000"/>
                <w:kern w:val="0"/>
                <w:sz w:val="24"/>
                <w:szCs w:val="24"/>
                <w:lang w:eastAsia="zh-CN" w:bidi="ar"/>
              </w:rPr>
            </w:pPr>
            <w:r>
              <w:rPr>
                <w:rFonts w:hint="eastAsia" w:asciiTheme="majorEastAsia" w:hAnsiTheme="majorEastAsia" w:eastAsiaTheme="majorEastAsia" w:cstheme="majorEastAsia"/>
                <w:color w:val="000000"/>
                <w:kern w:val="0"/>
                <w:sz w:val="24"/>
                <w:szCs w:val="24"/>
                <w:lang w:val="en-US" w:eastAsia="zh-CN" w:bidi="ar"/>
              </w:rPr>
              <w:t>项目</w:t>
            </w:r>
            <w:r>
              <w:rPr>
                <w:rFonts w:hint="eastAsia" w:asciiTheme="majorEastAsia" w:hAnsiTheme="majorEastAsia" w:eastAsiaTheme="majorEastAsia" w:cstheme="majorEastAsia"/>
                <w:color w:val="000000"/>
                <w:kern w:val="0"/>
                <w:sz w:val="24"/>
                <w:szCs w:val="24"/>
                <w:lang w:bidi="ar"/>
              </w:rPr>
              <w:t>决策</w:t>
            </w:r>
          </w:p>
          <w:p w14:paraId="39B5E091">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（10分）</w:t>
            </w:r>
          </w:p>
        </w:tc>
        <w:tc>
          <w:tcPr>
            <w:tcW w:w="1276" w:type="dxa"/>
            <w:vMerge w:val="restart"/>
            <w:tcBorders>
              <w:tl2br w:val="nil"/>
              <w:tr2bl w:val="nil"/>
            </w:tcBorders>
            <w:noWrap w:val="0"/>
            <w:vAlign w:val="center"/>
          </w:tcPr>
          <w:p w14:paraId="714A3296">
            <w:pPr>
              <w:widowControl/>
              <w:spacing w:line="560" w:lineRule="exact"/>
              <w:jc w:val="center"/>
              <w:textAlignment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color w:val="000000"/>
                <w:kern w:val="0"/>
                <w:sz w:val="24"/>
                <w:szCs w:val="24"/>
                <w:lang w:bidi="ar"/>
              </w:rPr>
              <w:t>项目立项</w:t>
            </w:r>
          </w:p>
        </w:tc>
        <w:tc>
          <w:tcPr>
            <w:tcW w:w="2410" w:type="dxa"/>
            <w:tcBorders>
              <w:tl2br w:val="nil"/>
              <w:tr2bl w:val="nil"/>
            </w:tcBorders>
            <w:noWrap w:val="0"/>
            <w:vAlign w:val="center"/>
          </w:tcPr>
          <w:p w14:paraId="286A8037">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立项依据充分性</w:t>
            </w:r>
          </w:p>
        </w:tc>
        <w:tc>
          <w:tcPr>
            <w:tcW w:w="992" w:type="dxa"/>
            <w:tcBorders>
              <w:tl2br w:val="nil"/>
              <w:tr2bl w:val="nil"/>
            </w:tcBorders>
            <w:noWrap w:val="0"/>
            <w:vAlign w:val="center"/>
          </w:tcPr>
          <w:p w14:paraId="6705FFB8">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2</w:t>
            </w:r>
          </w:p>
        </w:tc>
        <w:tc>
          <w:tcPr>
            <w:tcW w:w="2859" w:type="dxa"/>
            <w:tcBorders>
              <w:tl2br w:val="nil"/>
              <w:tr2bl w:val="nil"/>
            </w:tcBorders>
            <w:noWrap w:val="0"/>
            <w:vAlign w:val="center"/>
          </w:tcPr>
          <w:p w14:paraId="7CE2F7D4">
            <w:pPr>
              <w:keepNext w:val="0"/>
              <w:keepLines w:val="0"/>
              <w:pageBreakBefore w:val="0"/>
              <w:kinsoku/>
              <w:wordWrap/>
              <w:overflowPunct/>
              <w:topLinePunct w:val="0"/>
              <w:autoSpaceDE/>
              <w:autoSpaceDN/>
              <w:bidi w:val="0"/>
              <w:adjustRightInd w:val="0"/>
              <w:snapToGrid/>
              <w:spacing w:line="560" w:lineRule="exact"/>
              <w:jc w:val="both"/>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项目立项是否与部门职责范围相符，属于部门履职所需。</w:t>
            </w:r>
          </w:p>
        </w:tc>
      </w:tr>
      <w:tr w14:paraId="19F0D1C1">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76" w:type="dxa"/>
            <w:vMerge w:val="continue"/>
            <w:tcBorders>
              <w:tl2br w:val="nil"/>
              <w:tr2bl w:val="nil"/>
            </w:tcBorders>
            <w:noWrap w:val="0"/>
            <w:vAlign w:val="center"/>
          </w:tcPr>
          <w:p w14:paraId="16FD3247">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02768004">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0E4A1E00">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立项程序规范性</w:t>
            </w:r>
          </w:p>
        </w:tc>
        <w:tc>
          <w:tcPr>
            <w:tcW w:w="992" w:type="dxa"/>
            <w:tcBorders>
              <w:tl2br w:val="nil"/>
              <w:tr2bl w:val="nil"/>
            </w:tcBorders>
            <w:noWrap w:val="0"/>
            <w:vAlign w:val="center"/>
          </w:tcPr>
          <w:p w14:paraId="10B09B36">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2</w:t>
            </w:r>
          </w:p>
        </w:tc>
        <w:tc>
          <w:tcPr>
            <w:tcW w:w="2859" w:type="dxa"/>
            <w:tcBorders>
              <w:tl2br w:val="nil"/>
              <w:tr2bl w:val="nil"/>
            </w:tcBorders>
            <w:noWrap w:val="0"/>
            <w:vAlign w:val="center"/>
          </w:tcPr>
          <w:p w14:paraId="0C4D66A2">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项目是否按照规定的程序申请设立；审批文件、材料是否符合相关要求；事前是否已经过必要的可行性研究、集体决策。</w:t>
            </w:r>
          </w:p>
        </w:tc>
      </w:tr>
      <w:tr w14:paraId="7752AE9C">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23DB1668">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restart"/>
            <w:tcBorders>
              <w:tl2br w:val="nil"/>
              <w:tr2bl w:val="nil"/>
            </w:tcBorders>
            <w:noWrap w:val="0"/>
            <w:vAlign w:val="center"/>
          </w:tcPr>
          <w:p w14:paraId="507DA60C">
            <w:pPr>
              <w:widowControl/>
              <w:spacing w:line="560" w:lineRule="exact"/>
              <w:jc w:val="center"/>
              <w:textAlignment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color w:val="000000"/>
                <w:kern w:val="0"/>
                <w:sz w:val="24"/>
                <w:szCs w:val="24"/>
                <w:lang w:bidi="ar"/>
              </w:rPr>
              <w:t>绩效目标</w:t>
            </w:r>
          </w:p>
        </w:tc>
        <w:tc>
          <w:tcPr>
            <w:tcW w:w="2410" w:type="dxa"/>
            <w:tcBorders>
              <w:tl2br w:val="nil"/>
              <w:tr2bl w:val="nil"/>
            </w:tcBorders>
            <w:noWrap w:val="0"/>
            <w:vAlign w:val="center"/>
          </w:tcPr>
          <w:p w14:paraId="6A4E40E3">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绩效目标合理性</w:t>
            </w:r>
          </w:p>
        </w:tc>
        <w:tc>
          <w:tcPr>
            <w:tcW w:w="992" w:type="dxa"/>
            <w:tcBorders>
              <w:tl2br w:val="nil"/>
              <w:tr2bl w:val="nil"/>
            </w:tcBorders>
            <w:noWrap w:val="0"/>
            <w:vAlign w:val="center"/>
          </w:tcPr>
          <w:p w14:paraId="16996571">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2</w:t>
            </w:r>
          </w:p>
        </w:tc>
        <w:tc>
          <w:tcPr>
            <w:tcW w:w="2859" w:type="dxa"/>
            <w:tcBorders>
              <w:tl2br w:val="nil"/>
              <w:tr2bl w:val="nil"/>
            </w:tcBorders>
            <w:noWrap w:val="0"/>
            <w:vAlign w:val="center"/>
          </w:tcPr>
          <w:p w14:paraId="502A8997">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①项目是否有绩效目标；</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②项目绩效目标与实际工作内容是否具有相关性；</w:t>
            </w:r>
          </w:p>
          <w:p w14:paraId="68C67DF1">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③项目预期产出效益和效果是否符合正常的业绩水平</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④是否与预算确定的项目投资额或资金量相匹配。</w:t>
            </w:r>
            <w:r>
              <w:rPr>
                <w:rFonts w:hint="eastAsia" w:asciiTheme="majorEastAsia" w:hAnsiTheme="majorEastAsia" w:eastAsiaTheme="majorEastAsia" w:cstheme="majorEastAsia"/>
                <w:color w:val="000000"/>
                <w:sz w:val="22"/>
              </w:rPr>
              <w:t>　</w:t>
            </w:r>
          </w:p>
        </w:tc>
      </w:tr>
      <w:tr w14:paraId="51F11469">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76" w:type="dxa"/>
            <w:vMerge w:val="continue"/>
            <w:tcBorders>
              <w:tl2br w:val="nil"/>
              <w:tr2bl w:val="nil"/>
            </w:tcBorders>
            <w:noWrap w:val="0"/>
            <w:vAlign w:val="center"/>
          </w:tcPr>
          <w:p w14:paraId="09165A2C">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33034383">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440DFADA">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绩效指标明确性</w:t>
            </w:r>
          </w:p>
        </w:tc>
        <w:tc>
          <w:tcPr>
            <w:tcW w:w="992" w:type="dxa"/>
            <w:tcBorders>
              <w:tl2br w:val="nil"/>
              <w:tr2bl w:val="nil"/>
            </w:tcBorders>
            <w:noWrap w:val="0"/>
            <w:vAlign w:val="center"/>
          </w:tcPr>
          <w:p w14:paraId="02FAC994">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1</w:t>
            </w:r>
          </w:p>
        </w:tc>
        <w:tc>
          <w:tcPr>
            <w:tcW w:w="2859" w:type="dxa"/>
            <w:tcBorders>
              <w:tl2br w:val="nil"/>
              <w:tr2bl w:val="nil"/>
            </w:tcBorders>
            <w:noWrap w:val="0"/>
            <w:vAlign w:val="center"/>
          </w:tcPr>
          <w:p w14:paraId="3CB566AF">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①是否将项目绩效目标细化分解为具体的绩效指标;</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②是否通过清晰、可衡量的指标值予以体现；</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③是否与项目目标任务数或计划数相对应。</w:t>
            </w:r>
          </w:p>
        </w:tc>
      </w:tr>
      <w:tr w14:paraId="3FC36B6D">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38DF35FA">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restart"/>
            <w:tcBorders>
              <w:tl2br w:val="nil"/>
              <w:tr2bl w:val="nil"/>
            </w:tcBorders>
            <w:noWrap w:val="0"/>
            <w:vAlign w:val="center"/>
          </w:tcPr>
          <w:p w14:paraId="19A55C5A">
            <w:pPr>
              <w:widowControl/>
              <w:spacing w:line="560" w:lineRule="exact"/>
              <w:jc w:val="center"/>
              <w:textAlignment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color w:val="000000"/>
                <w:kern w:val="0"/>
                <w:sz w:val="24"/>
                <w:szCs w:val="24"/>
                <w:lang w:bidi="ar"/>
              </w:rPr>
              <w:t>资金投入</w:t>
            </w:r>
          </w:p>
        </w:tc>
        <w:tc>
          <w:tcPr>
            <w:tcW w:w="2410" w:type="dxa"/>
            <w:tcBorders>
              <w:tl2br w:val="nil"/>
              <w:tr2bl w:val="nil"/>
            </w:tcBorders>
            <w:noWrap w:val="0"/>
            <w:vAlign w:val="center"/>
          </w:tcPr>
          <w:p w14:paraId="53E49D01">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预算编制科学性</w:t>
            </w:r>
          </w:p>
        </w:tc>
        <w:tc>
          <w:tcPr>
            <w:tcW w:w="992" w:type="dxa"/>
            <w:tcBorders>
              <w:tl2br w:val="nil"/>
              <w:tr2bl w:val="nil"/>
            </w:tcBorders>
            <w:noWrap w:val="0"/>
            <w:vAlign w:val="center"/>
          </w:tcPr>
          <w:p w14:paraId="32773282">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2</w:t>
            </w:r>
          </w:p>
        </w:tc>
        <w:tc>
          <w:tcPr>
            <w:tcW w:w="2859" w:type="dxa"/>
            <w:tcBorders>
              <w:tl2br w:val="nil"/>
              <w:tr2bl w:val="nil"/>
            </w:tcBorders>
            <w:noWrap w:val="0"/>
            <w:vAlign w:val="center"/>
          </w:tcPr>
          <w:p w14:paraId="5C5071C4">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①预算编制是否经过科学论证；</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②预算内容与项目内容是否匹配；</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③预算额度测算依据是否充分，是否按照标准编制；④预算确定的项目投资额或资金量是否与工作任务相匹配。</w:t>
            </w:r>
          </w:p>
        </w:tc>
      </w:tr>
      <w:tr w14:paraId="1FCCA89A">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02C07E85">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354E6778">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3A34C41E">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资金分配合理性</w:t>
            </w:r>
          </w:p>
        </w:tc>
        <w:tc>
          <w:tcPr>
            <w:tcW w:w="992" w:type="dxa"/>
            <w:tcBorders>
              <w:tl2br w:val="nil"/>
              <w:tr2bl w:val="nil"/>
            </w:tcBorders>
            <w:noWrap w:val="0"/>
            <w:vAlign w:val="center"/>
          </w:tcPr>
          <w:p w14:paraId="493E2AAE">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1</w:t>
            </w:r>
          </w:p>
        </w:tc>
        <w:tc>
          <w:tcPr>
            <w:tcW w:w="2859" w:type="dxa"/>
            <w:tcBorders>
              <w:tl2br w:val="nil"/>
              <w:tr2bl w:val="nil"/>
            </w:tcBorders>
            <w:noWrap w:val="0"/>
            <w:vAlign w:val="center"/>
          </w:tcPr>
          <w:p w14:paraId="0B91B783">
            <w:pPr>
              <w:keepNext w:val="0"/>
              <w:keepLines w:val="0"/>
              <w:pageBreakBefore w:val="0"/>
              <w:widowControl/>
              <w:kinsoku/>
              <w:wordWrap/>
              <w:overflowPunct/>
              <w:topLinePunct w:val="0"/>
              <w:autoSpaceDE/>
              <w:autoSpaceDN/>
              <w:bidi w:val="0"/>
              <w:adjustRightInd w:val="0"/>
              <w:snapToGrid/>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①预算资金分配依据是否充分；</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②资金分配额度是否合理，与项目单位或地方实际是否相适应。</w:t>
            </w:r>
            <w:r>
              <w:rPr>
                <w:rFonts w:hint="eastAsia" w:asciiTheme="majorEastAsia" w:hAnsiTheme="majorEastAsia" w:eastAsiaTheme="majorEastAsia" w:cstheme="majorEastAsia"/>
                <w:color w:val="000000"/>
                <w:sz w:val="22"/>
              </w:rPr>
              <w:t>　</w:t>
            </w:r>
          </w:p>
        </w:tc>
      </w:tr>
      <w:tr w14:paraId="26ECD456">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restart"/>
            <w:tcBorders>
              <w:tl2br w:val="nil"/>
              <w:tr2bl w:val="nil"/>
            </w:tcBorders>
            <w:noWrap w:val="0"/>
            <w:vAlign w:val="center"/>
          </w:tcPr>
          <w:p w14:paraId="49657AC7">
            <w:pPr>
              <w:widowControl/>
              <w:spacing w:line="560" w:lineRule="exact"/>
              <w:jc w:val="center"/>
              <w:textAlignment w:val="center"/>
              <w:rPr>
                <w:rFonts w:hint="eastAsia" w:asciiTheme="majorEastAsia" w:hAnsiTheme="majorEastAsia" w:eastAsiaTheme="majorEastAsia" w:cstheme="majorEastAsia"/>
                <w:color w:val="000000"/>
                <w:kern w:val="0"/>
                <w:sz w:val="24"/>
                <w:szCs w:val="24"/>
                <w:lang w:eastAsia="zh-CN" w:bidi="ar"/>
              </w:rPr>
            </w:pPr>
            <w:r>
              <w:rPr>
                <w:rFonts w:hint="eastAsia" w:asciiTheme="majorEastAsia" w:hAnsiTheme="majorEastAsia" w:eastAsiaTheme="majorEastAsia" w:cstheme="majorEastAsia"/>
                <w:color w:val="000000"/>
                <w:kern w:val="0"/>
                <w:sz w:val="24"/>
                <w:szCs w:val="24"/>
                <w:lang w:val="en-US" w:eastAsia="zh-CN" w:bidi="ar"/>
              </w:rPr>
              <w:t>项目</w:t>
            </w:r>
            <w:r>
              <w:rPr>
                <w:rFonts w:hint="eastAsia" w:asciiTheme="majorEastAsia" w:hAnsiTheme="majorEastAsia" w:eastAsiaTheme="majorEastAsia" w:cstheme="majorEastAsia"/>
                <w:color w:val="000000"/>
                <w:kern w:val="0"/>
                <w:sz w:val="24"/>
                <w:szCs w:val="24"/>
                <w:lang w:bidi="ar"/>
              </w:rPr>
              <w:t>过程</w:t>
            </w:r>
          </w:p>
          <w:p w14:paraId="78227831">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（20分）</w:t>
            </w:r>
          </w:p>
        </w:tc>
        <w:tc>
          <w:tcPr>
            <w:tcW w:w="1276" w:type="dxa"/>
            <w:vMerge w:val="restart"/>
            <w:tcBorders>
              <w:tl2br w:val="nil"/>
              <w:tr2bl w:val="nil"/>
            </w:tcBorders>
            <w:noWrap w:val="0"/>
            <w:vAlign w:val="center"/>
          </w:tcPr>
          <w:p w14:paraId="2D0F2255">
            <w:pPr>
              <w:widowControl/>
              <w:spacing w:line="560" w:lineRule="exact"/>
              <w:jc w:val="center"/>
              <w:textAlignment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color w:val="000000"/>
                <w:kern w:val="0"/>
                <w:sz w:val="24"/>
                <w:szCs w:val="24"/>
                <w:lang w:bidi="ar"/>
              </w:rPr>
              <w:t>资金管理</w:t>
            </w:r>
          </w:p>
        </w:tc>
        <w:tc>
          <w:tcPr>
            <w:tcW w:w="2410" w:type="dxa"/>
            <w:tcBorders>
              <w:tl2br w:val="nil"/>
              <w:tr2bl w:val="nil"/>
            </w:tcBorders>
            <w:noWrap w:val="0"/>
            <w:vAlign w:val="center"/>
          </w:tcPr>
          <w:p w14:paraId="0CB73545">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资金到位率</w:t>
            </w:r>
          </w:p>
        </w:tc>
        <w:tc>
          <w:tcPr>
            <w:tcW w:w="992" w:type="dxa"/>
            <w:tcBorders>
              <w:tl2br w:val="nil"/>
              <w:tr2bl w:val="nil"/>
            </w:tcBorders>
            <w:noWrap w:val="0"/>
            <w:vAlign w:val="center"/>
          </w:tcPr>
          <w:p w14:paraId="2925E78A">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2</w:t>
            </w:r>
          </w:p>
        </w:tc>
        <w:tc>
          <w:tcPr>
            <w:tcW w:w="2859" w:type="dxa"/>
            <w:tcBorders>
              <w:tl2br w:val="nil"/>
              <w:tr2bl w:val="nil"/>
            </w:tcBorders>
            <w:noWrap w:val="0"/>
            <w:vAlign w:val="center"/>
          </w:tcPr>
          <w:p w14:paraId="09430340">
            <w:pPr>
              <w:keepNext w:val="0"/>
              <w:keepLines w:val="0"/>
              <w:pageBreakBefore w:val="0"/>
              <w:widowControl/>
              <w:kinsoku/>
              <w:wordWrap/>
              <w:overflowPunct/>
              <w:topLinePunct w:val="0"/>
              <w:autoSpaceDE/>
              <w:autoSpaceDN/>
              <w:bidi w:val="0"/>
              <w:adjustRightInd w:val="0"/>
              <w:snapToGrid/>
              <w:spacing w:line="560" w:lineRule="exact"/>
              <w:jc w:val="left"/>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资金到位率=(实际到位资金/预算资金)×100%实际到位资金：</w:t>
            </w:r>
          </w:p>
        </w:tc>
      </w:tr>
      <w:tr w14:paraId="524E339B">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50CBEC35">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3391DF6E">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1C87BACF">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预算执行率</w:t>
            </w:r>
          </w:p>
        </w:tc>
        <w:tc>
          <w:tcPr>
            <w:tcW w:w="992" w:type="dxa"/>
            <w:tcBorders>
              <w:tl2br w:val="nil"/>
              <w:tr2bl w:val="nil"/>
            </w:tcBorders>
            <w:noWrap w:val="0"/>
            <w:vAlign w:val="center"/>
          </w:tcPr>
          <w:p w14:paraId="0393C006">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5</w:t>
            </w:r>
          </w:p>
        </w:tc>
        <w:tc>
          <w:tcPr>
            <w:tcW w:w="2859" w:type="dxa"/>
            <w:tcBorders>
              <w:tl2br w:val="nil"/>
              <w:tr2bl w:val="nil"/>
            </w:tcBorders>
            <w:noWrap w:val="0"/>
            <w:vAlign w:val="center"/>
          </w:tcPr>
          <w:p w14:paraId="7CB6D5AD">
            <w:pPr>
              <w:keepNext w:val="0"/>
              <w:keepLines w:val="0"/>
              <w:pageBreakBefore w:val="0"/>
              <w:widowControl/>
              <w:kinsoku/>
              <w:wordWrap/>
              <w:overflowPunct/>
              <w:topLinePunct w:val="0"/>
              <w:autoSpaceDE/>
              <w:autoSpaceDN/>
              <w:bidi w:val="0"/>
              <w:adjustRightInd w:val="0"/>
              <w:snapToGrid/>
              <w:spacing w:line="560" w:lineRule="exact"/>
              <w:jc w:val="left"/>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预算执行率=(实际支出资金/实际到位资金)x 100%。。</w:t>
            </w:r>
          </w:p>
        </w:tc>
      </w:tr>
      <w:tr w14:paraId="5B1EE8BF">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31FBC604">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6FD46AA3">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716158F8">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资金使用合规性</w:t>
            </w:r>
          </w:p>
        </w:tc>
        <w:tc>
          <w:tcPr>
            <w:tcW w:w="992" w:type="dxa"/>
            <w:tcBorders>
              <w:tl2br w:val="nil"/>
              <w:tr2bl w:val="nil"/>
            </w:tcBorders>
            <w:noWrap w:val="0"/>
            <w:vAlign w:val="center"/>
          </w:tcPr>
          <w:p w14:paraId="3879452A">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3</w:t>
            </w:r>
          </w:p>
        </w:tc>
        <w:tc>
          <w:tcPr>
            <w:tcW w:w="2859" w:type="dxa"/>
            <w:tcBorders>
              <w:tl2br w:val="nil"/>
              <w:tr2bl w:val="nil"/>
            </w:tcBorders>
            <w:noWrap w:val="0"/>
            <w:vAlign w:val="center"/>
          </w:tcPr>
          <w:p w14:paraId="0B9301E4">
            <w:pPr>
              <w:keepNext w:val="0"/>
              <w:keepLines w:val="0"/>
              <w:pageBreakBefore w:val="0"/>
              <w:widowControl/>
              <w:kinsoku/>
              <w:wordWrap/>
              <w:overflowPunct/>
              <w:topLinePunct w:val="0"/>
              <w:autoSpaceDE/>
              <w:autoSpaceDN/>
              <w:bidi w:val="0"/>
              <w:adjustRightInd w:val="0"/>
              <w:snapToGrid/>
              <w:spacing w:line="560" w:lineRule="exact"/>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①是否符合国家财经法规和财务管理制度以及有关专项资金管理办法的规定；</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②资金的拨付是否有完整的审批程序和手续；</w:t>
            </w:r>
          </w:p>
          <w:p w14:paraId="5B7BBE08">
            <w:pPr>
              <w:keepNext w:val="0"/>
              <w:keepLines w:val="0"/>
              <w:pageBreakBefore w:val="0"/>
              <w:widowControl/>
              <w:kinsoku/>
              <w:wordWrap/>
              <w:overflowPunct/>
              <w:topLinePunct w:val="0"/>
              <w:autoSpaceDE/>
              <w:autoSpaceDN/>
              <w:bidi w:val="0"/>
              <w:adjustRightInd w:val="0"/>
              <w:snapToGrid/>
              <w:spacing w:line="560" w:lineRule="exact"/>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③是否符合项目预算批复或合同规定的用途；</w:t>
            </w:r>
          </w:p>
          <w:p w14:paraId="21C572F0">
            <w:pPr>
              <w:keepNext w:val="0"/>
              <w:keepLines w:val="0"/>
              <w:pageBreakBefore w:val="0"/>
              <w:widowControl/>
              <w:kinsoku/>
              <w:wordWrap/>
              <w:overflowPunct/>
              <w:topLinePunct w:val="0"/>
              <w:autoSpaceDE/>
              <w:autoSpaceDN/>
              <w:bidi w:val="0"/>
              <w:adjustRightInd w:val="0"/>
              <w:snapToGrid/>
              <w:spacing w:line="560" w:lineRule="exact"/>
              <w:jc w:val="left"/>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④是否存在截留、挤占、挪用、虚列支出等情况</w:t>
            </w:r>
          </w:p>
        </w:tc>
      </w:tr>
      <w:tr w14:paraId="56E7A95E">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76" w:type="dxa"/>
            <w:vMerge w:val="continue"/>
            <w:tcBorders>
              <w:tl2br w:val="nil"/>
              <w:tr2bl w:val="nil"/>
            </w:tcBorders>
            <w:noWrap w:val="0"/>
            <w:vAlign w:val="center"/>
          </w:tcPr>
          <w:p w14:paraId="699A6017">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restart"/>
            <w:tcBorders>
              <w:tl2br w:val="nil"/>
              <w:tr2bl w:val="nil"/>
            </w:tcBorders>
            <w:noWrap w:val="0"/>
            <w:vAlign w:val="center"/>
          </w:tcPr>
          <w:p w14:paraId="34F6E84F">
            <w:pPr>
              <w:widowControl/>
              <w:spacing w:line="560" w:lineRule="exact"/>
              <w:jc w:val="center"/>
              <w:textAlignment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color w:val="000000"/>
                <w:kern w:val="0"/>
                <w:sz w:val="24"/>
                <w:szCs w:val="24"/>
                <w:lang w:bidi="ar"/>
              </w:rPr>
              <w:t>组织实施</w:t>
            </w:r>
          </w:p>
        </w:tc>
        <w:tc>
          <w:tcPr>
            <w:tcW w:w="2410" w:type="dxa"/>
            <w:tcBorders>
              <w:tl2br w:val="nil"/>
              <w:tr2bl w:val="nil"/>
            </w:tcBorders>
            <w:noWrap w:val="0"/>
            <w:vAlign w:val="center"/>
          </w:tcPr>
          <w:p w14:paraId="00542CA0">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管理制度健全性</w:t>
            </w:r>
          </w:p>
        </w:tc>
        <w:tc>
          <w:tcPr>
            <w:tcW w:w="992" w:type="dxa"/>
            <w:tcBorders>
              <w:tl2br w:val="nil"/>
              <w:tr2bl w:val="nil"/>
            </w:tcBorders>
            <w:noWrap w:val="0"/>
            <w:vAlign w:val="center"/>
          </w:tcPr>
          <w:p w14:paraId="042F8E8D">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5</w:t>
            </w:r>
          </w:p>
        </w:tc>
        <w:tc>
          <w:tcPr>
            <w:tcW w:w="2859" w:type="dxa"/>
            <w:tcBorders>
              <w:tl2br w:val="nil"/>
              <w:tr2bl w:val="nil"/>
            </w:tcBorders>
            <w:noWrap w:val="0"/>
            <w:vAlign w:val="center"/>
          </w:tcPr>
          <w:p w14:paraId="7ABDA5B8">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①是否已制定或具有相应的财务和业务管理制度；</w:t>
            </w:r>
          </w:p>
          <w:p w14:paraId="2AC21BEB">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②财务和业务管理制度是否合法、合规、完整。</w:t>
            </w:r>
          </w:p>
        </w:tc>
      </w:tr>
      <w:tr w14:paraId="21DD9610">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76" w:type="dxa"/>
            <w:vMerge w:val="continue"/>
            <w:tcBorders>
              <w:tl2br w:val="nil"/>
              <w:tr2bl w:val="nil"/>
            </w:tcBorders>
            <w:noWrap w:val="0"/>
            <w:vAlign w:val="center"/>
          </w:tcPr>
          <w:p w14:paraId="0827CD48">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6DD6B458">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31715691">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制度执行有效性</w:t>
            </w:r>
          </w:p>
        </w:tc>
        <w:tc>
          <w:tcPr>
            <w:tcW w:w="992" w:type="dxa"/>
            <w:tcBorders>
              <w:tl2br w:val="nil"/>
              <w:tr2bl w:val="nil"/>
            </w:tcBorders>
            <w:noWrap w:val="0"/>
            <w:vAlign w:val="center"/>
          </w:tcPr>
          <w:p w14:paraId="62CBD21D">
            <w:pPr>
              <w:widowControl/>
              <w:spacing w:line="560" w:lineRule="exact"/>
              <w:jc w:val="center"/>
              <w:textAlignment w:val="center"/>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kern w:val="0"/>
                <w:sz w:val="24"/>
                <w:szCs w:val="24"/>
                <w:lang w:val="en-US" w:eastAsia="zh-CN" w:bidi="ar"/>
              </w:rPr>
              <w:t>5</w:t>
            </w:r>
          </w:p>
        </w:tc>
        <w:tc>
          <w:tcPr>
            <w:tcW w:w="2859" w:type="dxa"/>
            <w:tcBorders>
              <w:tl2br w:val="nil"/>
              <w:tr2bl w:val="nil"/>
            </w:tcBorders>
            <w:noWrap w:val="0"/>
            <w:vAlign w:val="center"/>
          </w:tcPr>
          <w:p w14:paraId="000BAEE7">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①是否遵守相关法律法规和相关管理规定；</w:t>
            </w:r>
          </w:p>
          <w:p w14:paraId="3D8404B6">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②项目调整及支出调整手续是否完备；</w:t>
            </w:r>
          </w:p>
          <w:p w14:paraId="063B92DE">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③项目合同书、验收报告等资料是否齐全并及时归档；</w:t>
            </w:r>
            <w:r>
              <w:rPr>
                <w:rFonts w:hint="eastAsia" w:asciiTheme="majorEastAsia" w:hAnsiTheme="majorEastAsia" w:eastAsiaTheme="majorEastAsia" w:cstheme="majorEastAsia"/>
                <w:color w:val="000000"/>
                <w:kern w:val="0"/>
                <w:sz w:val="18"/>
                <w:szCs w:val="18"/>
              </w:rPr>
              <w:br w:type="textWrapping"/>
            </w:r>
            <w:r>
              <w:rPr>
                <w:rFonts w:hint="eastAsia" w:asciiTheme="majorEastAsia" w:hAnsiTheme="majorEastAsia" w:eastAsiaTheme="majorEastAsia" w:cstheme="majorEastAsia"/>
                <w:color w:val="000000"/>
                <w:kern w:val="0"/>
                <w:sz w:val="18"/>
                <w:szCs w:val="18"/>
              </w:rPr>
              <w:t>④项目实施的人员条件、场地设备、信息支撑等是否落实到位。</w:t>
            </w:r>
          </w:p>
        </w:tc>
      </w:tr>
      <w:tr w14:paraId="22FCA41D">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restart"/>
            <w:tcBorders>
              <w:tl2br w:val="nil"/>
              <w:tr2bl w:val="nil"/>
            </w:tcBorders>
            <w:noWrap w:val="0"/>
            <w:vAlign w:val="center"/>
          </w:tcPr>
          <w:p w14:paraId="0234BBA7">
            <w:pPr>
              <w:widowControl/>
              <w:spacing w:line="560" w:lineRule="exact"/>
              <w:jc w:val="center"/>
              <w:textAlignment w:val="center"/>
              <w:rPr>
                <w:rFonts w:hint="eastAsia" w:asciiTheme="majorEastAsia" w:hAnsiTheme="majorEastAsia" w:eastAsiaTheme="majorEastAsia" w:cstheme="majorEastAsia"/>
                <w:color w:val="000000"/>
                <w:kern w:val="0"/>
                <w:sz w:val="24"/>
                <w:szCs w:val="24"/>
                <w:lang w:eastAsia="zh-CN" w:bidi="ar"/>
              </w:rPr>
            </w:pPr>
            <w:r>
              <w:rPr>
                <w:rFonts w:hint="eastAsia" w:asciiTheme="majorEastAsia" w:hAnsiTheme="majorEastAsia" w:eastAsiaTheme="majorEastAsia" w:cstheme="majorEastAsia"/>
                <w:color w:val="000000"/>
                <w:kern w:val="0"/>
                <w:sz w:val="24"/>
                <w:szCs w:val="24"/>
                <w:lang w:val="en-US" w:eastAsia="zh-CN" w:bidi="ar"/>
              </w:rPr>
              <w:t>项目</w:t>
            </w:r>
            <w:r>
              <w:rPr>
                <w:rFonts w:hint="eastAsia" w:asciiTheme="majorEastAsia" w:hAnsiTheme="majorEastAsia" w:eastAsiaTheme="majorEastAsia" w:cstheme="majorEastAsia"/>
                <w:color w:val="000000"/>
                <w:kern w:val="0"/>
                <w:sz w:val="24"/>
                <w:szCs w:val="24"/>
                <w:lang w:bidi="ar"/>
              </w:rPr>
              <w:t>产出</w:t>
            </w:r>
          </w:p>
          <w:p w14:paraId="2FE4CE6D">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（40分）</w:t>
            </w:r>
          </w:p>
        </w:tc>
        <w:tc>
          <w:tcPr>
            <w:tcW w:w="1276" w:type="dxa"/>
            <w:tcBorders>
              <w:tl2br w:val="nil"/>
              <w:tr2bl w:val="nil"/>
            </w:tcBorders>
            <w:noWrap w:val="0"/>
            <w:vAlign w:val="center"/>
          </w:tcPr>
          <w:p w14:paraId="77E6EF6F">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产出数量</w:t>
            </w:r>
          </w:p>
        </w:tc>
        <w:tc>
          <w:tcPr>
            <w:tcW w:w="2410" w:type="dxa"/>
            <w:tcBorders>
              <w:tl2br w:val="nil"/>
              <w:tr2bl w:val="nil"/>
            </w:tcBorders>
            <w:noWrap w:val="0"/>
            <w:vAlign w:val="center"/>
          </w:tcPr>
          <w:p w14:paraId="19790E8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实际完成率</w:t>
            </w:r>
          </w:p>
        </w:tc>
        <w:tc>
          <w:tcPr>
            <w:tcW w:w="992" w:type="dxa"/>
            <w:tcBorders>
              <w:tl2br w:val="nil"/>
              <w:tr2bl w:val="nil"/>
            </w:tcBorders>
            <w:noWrap w:val="0"/>
            <w:vAlign w:val="center"/>
          </w:tcPr>
          <w:p w14:paraId="50A81B9B">
            <w:pPr>
              <w:widowControl/>
              <w:spacing w:line="560" w:lineRule="exact"/>
              <w:jc w:val="center"/>
              <w:textAlignment w:val="center"/>
              <w:rPr>
                <w:rFonts w:hint="eastAsia" w:asciiTheme="majorEastAsia" w:hAnsiTheme="majorEastAsia" w:eastAsiaTheme="majorEastAsia" w:cstheme="majorEastAsia"/>
                <w:color w:val="000000"/>
                <w:sz w:val="24"/>
                <w:szCs w:val="24"/>
                <w:lang w:val="en-US" w:eastAsia="zh-CN"/>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533F4AB7">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项目产出数量指标。</w:t>
            </w:r>
            <w:r>
              <w:rPr>
                <w:rFonts w:hint="eastAsia" w:asciiTheme="majorEastAsia" w:hAnsiTheme="majorEastAsia" w:eastAsiaTheme="majorEastAsia" w:cstheme="majorEastAsia"/>
                <w:color w:val="000000"/>
                <w:sz w:val="22"/>
              </w:rPr>
              <w:t>　</w:t>
            </w:r>
          </w:p>
        </w:tc>
      </w:tr>
      <w:tr w14:paraId="54297D26">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76" w:type="dxa"/>
            <w:vMerge w:val="continue"/>
            <w:tcBorders>
              <w:tl2br w:val="nil"/>
              <w:tr2bl w:val="nil"/>
            </w:tcBorders>
            <w:noWrap w:val="0"/>
            <w:vAlign w:val="center"/>
          </w:tcPr>
          <w:p w14:paraId="42F248AA">
            <w:pPr>
              <w:spacing w:line="560" w:lineRule="exact"/>
              <w:jc w:val="center"/>
              <w:rPr>
                <w:rFonts w:hint="eastAsia" w:asciiTheme="majorEastAsia" w:hAnsiTheme="majorEastAsia" w:eastAsiaTheme="majorEastAsia" w:cstheme="majorEastAsia"/>
                <w:color w:val="000000"/>
                <w:sz w:val="24"/>
                <w:szCs w:val="24"/>
              </w:rPr>
            </w:pPr>
          </w:p>
        </w:tc>
        <w:tc>
          <w:tcPr>
            <w:tcW w:w="1276" w:type="dxa"/>
            <w:tcBorders>
              <w:tl2br w:val="nil"/>
              <w:tr2bl w:val="nil"/>
            </w:tcBorders>
            <w:noWrap w:val="0"/>
            <w:vAlign w:val="center"/>
          </w:tcPr>
          <w:p w14:paraId="679D2DB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产出质量</w:t>
            </w:r>
          </w:p>
        </w:tc>
        <w:tc>
          <w:tcPr>
            <w:tcW w:w="2410" w:type="dxa"/>
            <w:tcBorders>
              <w:tl2br w:val="nil"/>
              <w:tr2bl w:val="nil"/>
            </w:tcBorders>
            <w:noWrap w:val="0"/>
            <w:vAlign w:val="center"/>
          </w:tcPr>
          <w:p w14:paraId="41C0824F">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质量达标率</w:t>
            </w:r>
          </w:p>
        </w:tc>
        <w:tc>
          <w:tcPr>
            <w:tcW w:w="992" w:type="dxa"/>
            <w:tcBorders>
              <w:tl2br w:val="nil"/>
              <w:tr2bl w:val="nil"/>
            </w:tcBorders>
            <w:noWrap w:val="0"/>
            <w:vAlign w:val="center"/>
          </w:tcPr>
          <w:p w14:paraId="58B399A7">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1196E345">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项目产出质量指标。</w:t>
            </w:r>
          </w:p>
        </w:tc>
      </w:tr>
      <w:tr w14:paraId="6E81FBA2">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042C7036">
            <w:pPr>
              <w:spacing w:line="560" w:lineRule="exact"/>
              <w:jc w:val="center"/>
              <w:rPr>
                <w:rFonts w:hint="eastAsia" w:asciiTheme="majorEastAsia" w:hAnsiTheme="majorEastAsia" w:eastAsiaTheme="majorEastAsia" w:cstheme="majorEastAsia"/>
                <w:color w:val="000000"/>
                <w:sz w:val="24"/>
                <w:szCs w:val="24"/>
              </w:rPr>
            </w:pPr>
          </w:p>
        </w:tc>
        <w:tc>
          <w:tcPr>
            <w:tcW w:w="1276" w:type="dxa"/>
            <w:tcBorders>
              <w:tl2br w:val="nil"/>
              <w:tr2bl w:val="nil"/>
            </w:tcBorders>
            <w:noWrap w:val="0"/>
            <w:vAlign w:val="center"/>
          </w:tcPr>
          <w:p w14:paraId="7EE82F16">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产出时效</w:t>
            </w:r>
          </w:p>
        </w:tc>
        <w:tc>
          <w:tcPr>
            <w:tcW w:w="2410" w:type="dxa"/>
            <w:tcBorders>
              <w:tl2br w:val="nil"/>
              <w:tr2bl w:val="nil"/>
            </w:tcBorders>
            <w:noWrap w:val="0"/>
            <w:vAlign w:val="center"/>
          </w:tcPr>
          <w:p w14:paraId="77FF1169">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完成及时性</w:t>
            </w:r>
          </w:p>
        </w:tc>
        <w:tc>
          <w:tcPr>
            <w:tcW w:w="992" w:type="dxa"/>
            <w:tcBorders>
              <w:tl2br w:val="nil"/>
              <w:tr2bl w:val="nil"/>
            </w:tcBorders>
            <w:noWrap w:val="0"/>
            <w:vAlign w:val="center"/>
          </w:tcPr>
          <w:p w14:paraId="7AFAB6B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12D8FFCB">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项目按照时间节点完成相关工作。</w:t>
            </w:r>
          </w:p>
        </w:tc>
      </w:tr>
      <w:tr w14:paraId="06FE3098">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3863AF6E">
            <w:pPr>
              <w:spacing w:line="560" w:lineRule="exact"/>
              <w:jc w:val="center"/>
              <w:rPr>
                <w:rFonts w:hint="eastAsia" w:asciiTheme="majorEastAsia" w:hAnsiTheme="majorEastAsia" w:eastAsiaTheme="majorEastAsia" w:cstheme="majorEastAsia"/>
                <w:color w:val="000000"/>
                <w:sz w:val="24"/>
                <w:szCs w:val="24"/>
              </w:rPr>
            </w:pPr>
          </w:p>
        </w:tc>
        <w:tc>
          <w:tcPr>
            <w:tcW w:w="1276" w:type="dxa"/>
            <w:tcBorders>
              <w:tl2br w:val="nil"/>
              <w:tr2bl w:val="nil"/>
            </w:tcBorders>
            <w:noWrap w:val="0"/>
            <w:vAlign w:val="center"/>
          </w:tcPr>
          <w:p w14:paraId="2A967535">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产出成本</w:t>
            </w:r>
          </w:p>
        </w:tc>
        <w:tc>
          <w:tcPr>
            <w:tcW w:w="2410" w:type="dxa"/>
            <w:tcBorders>
              <w:tl2br w:val="nil"/>
              <w:tr2bl w:val="nil"/>
            </w:tcBorders>
            <w:noWrap w:val="0"/>
            <w:vAlign w:val="center"/>
          </w:tcPr>
          <w:p w14:paraId="60E0C9A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成本节约率</w:t>
            </w:r>
          </w:p>
        </w:tc>
        <w:tc>
          <w:tcPr>
            <w:tcW w:w="992" w:type="dxa"/>
            <w:tcBorders>
              <w:tl2br w:val="nil"/>
              <w:tr2bl w:val="nil"/>
            </w:tcBorders>
            <w:noWrap w:val="0"/>
            <w:vAlign w:val="center"/>
          </w:tcPr>
          <w:p w14:paraId="0D4C2275">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1C439A1A">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18"/>
                <w:szCs w:val="18"/>
              </w:rPr>
              <w:t>预算控制是否符合成本效益原则。</w:t>
            </w:r>
          </w:p>
        </w:tc>
      </w:tr>
      <w:tr w14:paraId="6DEB7304">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restart"/>
            <w:tcBorders>
              <w:tl2br w:val="nil"/>
              <w:tr2bl w:val="nil"/>
            </w:tcBorders>
            <w:noWrap w:val="0"/>
            <w:vAlign w:val="center"/>
          </w:tcPr>
          <w:p w14:paraId="2DCDE78D">
            <w:pPr>
              <w:widowControl/>
              <w:spacing w:line="560" w:lineRule="exact"/>
              <w:jc w:val="center"/>
              <w:textAlignment w:val="center"/>
              <w:rPr>
                <w:rFonts w:hint="eastAsia" w:asciiTheme="majorEastAsia" w:hAnsiTheme="majorEastAsia" w:eastAsiaTheme="majorEastAsia" w:cstheme="majorEastAsia"/>
                <w:color w:val="000000"/>
                <w:kern w:val="0"/>
                <w:sz w:val="24"/>
                <w:szCs w:val="24"/>
                <w:lang w:eastAsia="zh-CN" w:bidi="ar"/>
              </w:rPr>
            </w:pPr>
            <w:r>
              <w:rPr>
                <w:rFonts w:hint="eastAsia" w:asciiTheme="majorEastAsia" w:hAnsiTheme="majorEastAsia" w:eastAsiaTheme="majorEastAsia" w:cstheme="majorEastAsia"/>
                <w:color w:val="000000"/>
                <w:kern w:val="0"/>
                <w:sz w:val="24"/>
                <w:szCs w:val="24"/>
                <w:lang w:val="en-US" w:eastAsia="zh-CN" w:bidi="ar"/>
              </w:rPr>
              <w:t>项目</w:t>
            </w:r>
            <w:r>
              <w:rPr>
                <w:rFonts w:hint="eastAsia" w:asciiTheme="majorEastAsia" w:hAnsiTheme="majorEastAsia" w:eastAsiaTheme="majorEastAsia" w:cstheme="majorEastAsia"/>
                <w:color w:val="000000"/>
                <w:kern w:val="0"/>
                <w:sz w:val="24"/>
                <w:szCs w:val="24"/>
                <w:lang w:bidi="ar"/>
              </w:rPr>
              <w:t>效益</w:t>
            </w:r>
          </w:p>
          <w:p w14:paraId="487997D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（30分）</w:t>
            </w:r>
          </w:p>
        </w:tc>
        <w:tc>
          <w:tcPr>
            <w:tcW w:w="1276" w:type="dxa"/>
            <w:vMerge w:val="restart"/>
            <w:tcBorders>
              <w:tl2br w:val="nil"/>
              <w:tr2bl w:val="nil"/>
            </w:tcBorders>
            <w:noWrap w:val="0"/>
            <w:vAlign w:val="center"/>
          </w:tcPr>
          <w:p w14:paraId="0677A588">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项目效益　</w:t>
            </w:r>
          </w:p>
        </w:tc>
        <w:tc>
          <w:tcPr>
            <w:tcW w:w="2410" w:type="dxa"/>
            <w:tcBorders>
              <w:tl2br w:val="nil"/>
              <w:tr2bl w:val="nil"/>
            </w:tcBorders>
            <w:noWrap w:val="0"/>
            <w:vAlign w:val="center"/>
          </w:tcPr>
          <w:p w14:paraId="4469CC04">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产生的社会效益</w:t>
            </w:r>
          </w:p>
        </w:tc>
        <w:tc>
          <w:tcPr>
            <w:tcW w:w="992" w:type="dxa"/>
            <w:tcBorders>
              <w:tl2br w:val="nil"/>
              <w:tr2bl w:val="nil"/>
            </w:tcBorders>
            <w:noWrap w:val="0"/>
            <w:vAlign w:val="center"/>
          </w:tcPr>
          <w:p w14:paraId="151687AC">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2630868F">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lang w:val="en-US" w:eastAsia="zh-CN"/>
              </w:rPr>
            </w:pPr>
            <w:r>
              <w:rPr>
                <w:rFonts w:hint="eastAsia" w:asciiTheme="majorEastAsia" w:hAnsiTheme="majorEastAsia" w:eastAsiaTheme="majorEastAsia" w:cstheme="majorEastAsia"/>
                <w:color w:val="000000"/>
                <w:kern w:val="0"/>
                <w:sz w:val="18"/>
                <w:szCs w:val="18"/>
                <w:lang w:val="en-US" w:eastAsia="zh-CN"/>
              </w:rPr>
              <w:t>展示首都投资促进形象，推动北京经济发展</w:t>
            </w:r>
          </w:p>
        </w:tc>
      </w:tr>
      <w:tr w14:paraId="27D1ECBE">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60C79081">
            <w:pPr>
              <w:spacing w:line="560" w:lineRule="exact"/>
              <w:jc w:val="center"/>
              <w:rPr>
                <w:rFonts w:hint="eastAsia" w:asciiTheme="majorEastAsia" w:hAnsiTheme="majorEastAsia" w:eastAsiaTheme="majorEastAsia" w:cstheme="majorEastAsia"/>
                <w:color w:val="000000"/>
                <w:sz w:val="24"/>
                <w:szCs w:val="24"/>
              </w:rPr>
            </w:pPr>
          </w:p>
        </w:tc>
        <w:tc>
          <w:tcPr>
            <w:tcW w:w="1276" w:type="dxa"/>
            <w:vMerge w:val="continue"/>
            <w:tcBorders>
              <w:tl2br w:val="nil"/>
              <w:tr2bl w:val="nil"/>
            </w:tcBorders>
            <w:noWrap w:val="0"/>
            <w:vAlign w:val="center"/>
          </w:tcPr>
          <w:p w14:paraId="5265263E">
            <w:pPr>
              <w:spacing w:line="560" w:lineRule="exact"/>
              <w:jc w:val="center"/>
              <w:rPr>
                <w:rFonts w:hint="eastAsia" w:asciiTheme="majorEastAsia" w:hAnsiTheme="majorEastAsia" w:eastAsiaTheme="majorEastAsia" w:cstheme="majorEastAsia"/>
                <w:color w:val="000000"/>
                <w:sz w:val="24"/>
                <w:szCs w:val="24"/>
              </w:rPr>
            </w:pPr>
          </w:p>
        </w:tc>
        <w:tc>
          <w:tcPr>
            <w:tcW w:w="2410" w:type="dxa"/>
            <w:tcBorders>
              <w:tl2br w:val="nil"/>
              <w:tr2bl w:val="nil"/>
            </w:tcBorders>
            <w:noWrap w:val="0"/>
            <w:vAlign w:val="center"/>
          </w:tcPr>
          <w:p w14:paraId="29C2C322">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产生的可持续影响</w:t>
            </w:r>
          </w:p>
        </w:tc>
        <w:tc>
          <w:tcPr>
            <w:tcW w:w="992" w:type="dxa"/>
            <w:tcBorders>
              <w:tl2br w:val="nil"/>
              <w:tr2bl w:val="nil"/>
            </w:tcBorders>
            <w:noWrap w:val="0"/>
            <w:vAlign w:val="center"/>
          </w:tcPr>
          <w:p w14:paraId="0D52D93C">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6A44EFFE">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val="en-US" w:eastAsia="zh-CN"/>
              </w:rPr>
              <w:t>营造良好的营商环境；强化首都投资促进系统的工作统筹</w:t>
            </w:r>
          </w:p>
        </w:tc>
      </w:tr>
      <w:tr w14:paraId="637A2A8C">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276" w:type="dxa"/>
            <w:vMerge w:val="continue"/>
            <w:tcBorders>
              <w:tl2br w:val="nil"/>
              <w:tr2bl w:val="nil"/>
            </w:tcBorders>
            <w:noWrap w:val="0"/>
            <w:vAlign w:val="center"/>
          </w:tcPr>
          <w:p w14:paraId="756E4AE5">
            <w:pPr>
              <w:spacing w:line="560" w:lineRule="exact"/>
              <w:jc w:val="center"/>
              <w:rPr>
                <w:rFonts w:hint="eastAsia" w:asciiTheme="majorEastAsia" w:hAnsiTheme="majorEastAsia" w:eastAsiaTheme="majorEastAsia" w:cstheme="majorEastAsia"/>
                <w:color w:val="000000"/>
                <w:sz w:val="24"/>
                <w:szCs w:val="24"/>
              </w:rPr>
            </w:pPr>
          </w:p>
        </w:tc>
        <w:tc>
          <w:tcPr>
            <w:tcW w:w="1276" w:type="dxa"/>
            <w:tcBorders>
              <w:tl2br w:val="nil"/>
              <w:tr2bl w:val="nil"/>
            </w:tcBorders>
            <w:noWrap w:val="0"/>
            <w:vAlign w:val="center"/>
          </w:tcPr>
          <w:p w14:paraId="63E8C303">
            <w:pPr>
              <w:spacing w:line="560" w:lineRule="exact"/>
              <w:jc w:val="center"/>
              <w:rPr>
                <w:rFonts w:hint="eastAsia" w:asciiTheme="majorEastAsia" w:hAnsiTheme="majorEastAsia" w:eastAsiaTheme="majorEastAsia" w:cstheme="majorEastAsia"/>
                <w:color w:val="000000"/>
                <w:sz w:val="24"/>
                <w:szCs w:val="24"/>
                <w:lang w:val="en-US" w:eastAsia="zh-CN"/>
              </w:rPr>
            </w:pPr>
            <w:r>
              <w:rPr>
                <w:rFonts w:hint="eastAsia" w:asciiTheme="majorEastAsia" w:hAnsiTheme="majorEastAsia" w:eastAsiaTheme="majorEastAsia" w:cstheme="majorEastAsia"/>
                <w:color w:val="000000"/>
                <w:sz w:val="24"/>
                <w:szCs w:val="24"/>
                <w:lang w:val="en-US" w:eastAsia="zh-CN"/>
              </w:rPr>
              <w:t>满意度</w:t>
            </w:r>
          </w:p>
        </w:tc>
        <w:tc>
          <w:tcPr>
            <w:tcW w:w="2410" w:type="dxa"/>
            <w:tcBorders>
              <w:tl2br w:val="nil"/>
              <w:tr2bl w:val="nil"/>
            </w:tcBorders>
            <w:noWrap w:val="0"/>
            <w:vAlign w:val="center"/>
          </w:tcPr>
          <w:p w14:paraId="1091EEC5">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bidi="ar"/>
              </w:rPr>
              <w:t>服务对象满意度指标</w:t>
            </w:r>
          </w:p>
        </w:tc>
        <w:tc>
          <w:tcPr>
            <w:tcW w:w="992" w:type="dxa"/>
            <w:tcBorders>
              <w:tl2br w:val="nil"/>
              <w:tr2bl w:val="nil"/>
            </w:tcBorders>
            <w:noWrap w:val="0"/>
            <w:vAlign w:val="center"/>
          </w:tcPr>
          <w:p w14:paraId="08808941">
            <w:pPr>
              <w:widowControl/>
              <w:spacing w:line="560" w:lineRule="exact"/>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kern w:val="0"/>
                <w:sz w:val="24"/>
                <w:szCs w:val="24"/>
                <w:lang w:val="en-US" w:eastAsia="zh-CN" w:bidi="ar"/>
              </w:rPr>
              <w:t>10</w:t>
            </w:r>
          </w:p>
        </w:tc>
        <w:tc>
          <w:tcPr>
            <w:tcW w:w="2859" w:type="dxa"/>
            <w:tcBorders>
              <w:tl2br w:val="nil"/>
              <w:tr2bl w:val="nil"/>
            </w:tcBorders>
            <w:noWrap w:val="0"/>
            <w:vAlign w:val="center"/>
          </w:tcPr>
          <w:p w14:paraId="7BB0A2C0">
            <w:pPr>
              <w:keepNext w:val="0"/>
              <w:keepLines w:val="0"/>
              <w:pageBreakBefore w:val="0"/>
              <w:widowControl/>
              <w:kinsoku/>
              <w:wordWrap/>
              <w:overflowPunct/>
              <w:topLinePunct w:val="0"/>
              <w:autoSpaceDE/>
              <w:autoSpaceDN/>
              <w:bidi w:val="0"/>
              <w:adjustRightInd w:val="0"/>
              <w:snapToGrid/>
              <w:spacing w:line="560" w:lineRule="exact"/>
              <w:jc w:val="both"/>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rPr>
              <w:t>受益投资人、企业满意</w:t>
            </w:r>
            <w:r>
              <w:rPr>
                <w:rFonts w:hint="eastAsia" w:asciiTheme="majorEastAsia" w:hAnsiTheme="majorEastAsia" w:eastAsiaTheme="majorEastAsia" w:cstheme="majorEastAsia"/>
                <w:color w:val="000000"/>
                <w:kern w:val="0"/>
                <w:sz w:val="18"/>
                <w:szCs w:val="18"/>
                <w:lang w:val="en-US" w:eastAsia="zh-CN"/>
              </w:rPr>
              <w:t>及市领导满意</w:t>
            </w:r>
          </w:p>
        </w:tc>
      </w:tr>
      <w:tr w14:paraId="7340F630">
        <w:tblPrEx>
          <w:tblBorders>
            <w:top w:val="double" w:color="000000" w:sz="4" w:space="0"/>
            <w:left w:val="single" w:color="000000" w:sz="4" w:space="0"/>
            <w:bottom w:val="doub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962" w:type="dxa"/>
            <w:gridSpan w:val="3"/>
            <w:tcBorders>
              <w:tl2br w:val="nil"/>
              <w:tr2bl w:val="nil"/>
            </w:tcBorders>
            <w:noWrap/>
            <w:vAlign w:val="center"/>
          </w:tcPr>
          <w:p w14:paraId="7CE38C90">
            <w:pPr>
              <w:widowControl/>
              <w:spacing w:line="560" w:lineRule="exact"/>
              <w:jc w:val="center"/>
              <w:textAlignment w:val="center"/>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kern w:val="0"/>
                <w:sz w:val="24"/>
                <w:szCs w:val="24"/>
                <w:lang w:bidi="ar"/>
              </w:rPr>
              <w:t>合计</w:t>
            </w:r>
          </w:p>
        </w:tc>
        <w:tc>
          <w:tcPr>
            <w:tcW w:w="992" w:type="dxa"/>
            <w:tcBorders>
              <w:tl2br w:val="nil"/>
              <w:tr2bl w:val="nil"/>
            </w:tcBorders>
            <w:noWrap/>
            <w:vAlign w:val="center"/>
          </w:tcPr>
          <w:p w14:paraId="0130953E">
            <w:pPr>
              <w:widowControl/>
              <w:spacing w:line="560" w:lineRule="exact"/>
              <w:jc w:val="center"/>
              <w:textAlignment w:val="center"/>
              <w:rPr>
                <w:rFonts w:hint="eastAsia" w:asciiTheme="majorEastAsia" w:hAnsiTheme="majorEastAsia" w:eastAsiaTheme="majorEastAsia" w:cstheme="majorEastAsia"/>
                <w:b/>
                <w:bCs/>
                <w:color w:val="00000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bidi="ar"/>
              </w:rPr>
              <w:t>100</w:t>
            </w:r>
          </w:p>
        </w:tc>
        <w:tc>
          <w:tcPr>
            <w:tcW w:w="2859" w:type="dxa"/>
            <w:tcBorders>
              <w:tl2br w:val="nil"/>
              <w:tr2bl w:val="nil"/>
            </w:tcBorders>
            <w:noWrap w:val="0"/>
            <w:vAlign w:val="center"/>
          </w:tcPr>
          <w:p w14:paraId="33C5F1E0">
            <w:pPr>
              <w:spacing w:line="560" w:lineRule="exact"/>
              <w:jc w:val="center"/>
              <w:rPr>
                <w:rFonts w:hint="eastAsia" w:asciiTheme="majorEastAsia" w:hAnsiTheme="majorEastAsia" w:eastAsiaTheme="majorEastAsia" w:cstheme="majorEastAsia"/>
                <w:color w:val="000000"/>
                <w:sz w:val="24"/>
                <w:szCs w:val="24"/>
              </w:rPr>
            </w:pPr>
          </w:p>
        </w:tc>
      </w:tr>
    </w:tbl>
    <w:p w14:paraId="7D06E70F">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_GB2312" w:hAnsi="仿宋_GB2312" w:cs="仿宋_GB2312"/>
          <w:sz w:val="32"/>
          <w:szCs w:val="32"/>
        </w:rPr>
      </w:pPr>
      <w:r>
        <w:rPr>
          <w:rFonts w:hint="eastAsia" w:ascii="仿宋_GB2312" w:hAnsi="仿宋_GB2312" w:cs="仿宋_GB2312"/>
          <w:sz w:val="32"/>
          <w:szCs w:val="32"/>
          <w:lang w:val="en-US" w:eastAsia="zh-CN"/>
        </w:rPr>
        <w:t xml:space="preserve">评价指标体系总分值为 </w:t>
      </w:r>
      <w:r>
        <w:rPr>
          <w:rFonts w:hint="default" w:ascii="仿宋_GB2312" w:hAnsi="仿宋_GB2312" w:cs="仿宋_GB2312"/>
          <w:sz w:val="32"/>
          <w:szCs w:val="32"/>
          <w:lang w:val="en-US" w:eastAsia="zh-CN"/>
        </w:rPr>
        <w:t>100</w:t>
      </w:r>
      <w:r>
        <w:rPr>
          <w:rFonts w:hint="eastAsia" w:ascii="仿宋_GB2312" w:hAnsi="仿宋_GB2312" w:cs="仿宋_GB2312"/>
          <w:sz w:val="32"/>
          <w:szCs w:val="32"/>
          <w:lang w:val="en-US" w:eastAsia="zh-CN"/>
        </w:rPr>
        <w:t>分，其中项目决策</w:t>
      </w:r>
      <w:r>
        <w:rPr>
          <w:rFonts w:hint="default" w:ascii="仿宋_GB2312" w:hAnsi="仿宋_GB2312" w:cs="仿宋_GB2312"/>
          <w:sz w:val="32"/>
          <w:szCs w:val="32"/>
          <w:lang w:val="en-US" w:eastAsia="zh-CN"/>
        </w:rPr>
        <w:t xml:space="preserve">10 </w:t>
      </w:r>
      <w:r>
        <w:rPr>
          <w:rFonts w:hint="eastAsia" w:ascii="仿宋_GB2312" w:hAnsi="仿宋_GB2312" w:cs="仿宋_GB2312"/>
          <w:sz w:val="32"/>
          <w:szCs w:val="32"/>
          <w:lang w:val="en-US" w:eastAsia="zh-CN"/>
        </w:rPr>
        <w:t xml:space="preserve">分，项目过程 </w:t>
      </w:r>
      <w:r>
        <w:rPr>
          <w:rFonts w:hint="default" w:ascii="仿宋_GB2312" w:hAnsi="仿宋_GB2312" w:cs="仿宋_GB2312"/>
          <w:sz w:val="32"/>
          <w:szCs w:val="32"/>
          <w:lang w:val="en-US" w:eastAsia="zh-CN"/>
        </w:rPr>
        <w:t>20</w:t>
      </w:r>
      <w:r>
        <w:rPr>
          <w:rFonts w:hint="eastAsia" w:ascii="仿宋_GB2312" w:hAnsi="仿宋_GB2312" w:cs="仿宋_GB2312"/>
          <w:sz w:val="32"/>
          <w:szCs w:val="32"/>
          <w:lang w:val="en-US" w:eastAsia="zh-CN"/>
        </w:rPr>
        <w:t xml:space="preserve">分，项目产出 </w:t>
      </w:r>
      <w:r>
        <w:rPr>
          <w:rFonts w:hint="default" w:ascii="仿宋_GB2312" w:hAnsi="仿宋_GB2312" w:cs="仿宋_GB2312"/>
          <w:sz w:val="32"/>
          <w:szCs w:val="32"/>
          <w:lang w:val="en-US" w:eastAsia="zh-CN"/>
        </w:rPr>
        <w:t>40</w:t>
      </w:r>
      <w:r>
        <w:rPr>
          <w:rFonts w:hint="eastAsia" w:ascii="仿宋_GB2312" w:hAnsi="仿宋_GB2312" w:cs="仿宋_GB2312"/>
          <w:sz w:val="32"/>
          <w:szCs w:val="32"/>
          <w:lang w:val="en-US" w:eastAsia="zh-CN"/>
        </w:rPr>
        <w:t xml:space="preserve">分，项目效益 </w:t>
      </w:r>
      <w:r>
        <w:rPr>
          <w:rFonts w:hint="default" w:ascii="仿宋_GB2312" w:hAnsi="仿宋_GB2312" w:cs="仿宋_GB2312"/>
          <w:sz w:val="32"/>
          <w:szCs w:val="32"/>
          <w:lang w:val="en-US" w:eastAsia="zh-CN"/>
        </w:rPr>
        <w:t>30</w:t>
      </w:r>
      <w:r>
        <w:rPr>
          <w:rFonts w:hint="eastAsia" w:ascii="仿宋_GB2312" w:hAnsi="仿宋_GB2312" w:cs="仿宋_GB2312"/>
          <w:sz w:val="32"/>
          <w:szCs w:val="32"/>
          <w:lang w:val="en-US" w:eastAsia="zh-CN"/>
        </w:rPr>
        <w:t xml:space="preserve">分。绩效评价综合绩效级别分为 </w:t>
      </w:r>
      <w:r>
        <w:rPr>
          <w:rFonts w:hint="default" w:ascii="仿宋_GB2312" w:hAnsi="仿宋_GB2312" w:cs="仿宋_GB2312"/>
          <w:sz w:val="32"/>
          <w:szCs w:val="32"/>
          <w:lang w:val="en-US" w:eastAsia="zh-CN"/>
        </w:rPr>
        <w:t xml:space="preserve">4 </w:t>
      </w:r>
      <w:r>
        <w:rPr>
          <w:rFonts w:hint="eastAsia" w:ascii="仿宋_GB2312" w:hAnsi="仿宋_GB2312" w:cs="仿宋_GB2312"/>
          <w:sz w:val="32"/>
          <w:szCs w:val="32"/>
          <w:lang w:val="en-US" w:eastAsia="zh-CN"/>
        </w:rPr>
        <w:t xml:space="preserve">个等级： </w:t>
      </w:r>
    </w:p>
    <w:p w14:paraId="487B7FB6">
      <w:pPr>
        <w:keepNext w:val="0"/>
        <w:keepLines w:val="0"/>
        <w:pageBreakBefore w:val="0"/>
        <w:widowControl w:val="0"/>
        <w:suppressLineNumbers w:val="0"/>
        <w:kinsoku/>
        <w:wordWrap/>
        <w:overflowPunct/>
        <w:topLinePunct w:val="0"/>
        <w:autoSpaceDE/>
        <w:autoSpaceDN/>
        <w:bidi w:val="0"/>
        <w:adjustRightInd/>
        <w:snapToGrid/>
        <w:spacing w:line="560" w:lineRule="exact"/>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综合得分在 </w:t>
      </w:r>
      <w:r>
        <w:rPr>
          <w:rFonts w:hint="default" w:ascii="Times New Roman" w:hAnsi="Times New Roman" w:eastAsia="宋体" w:cs="Times New Roman"/>
          <w:color w:val="000000"/>
          <w:kern w:val="0"/>
          <w:sz w:val="31"/>
          <w:szCs w:val="31"/>
          <w:lang w:val="en-US" w:eastAsia="zh-CN" w:bidi="ar"/>
        </w:rPr>
        <w:t>90</w:t>
      </w:r>
      <w:r>
        <w:rPr>
          <w:rFonts w:hint="eastAsia" w:ascii="仿宋_GB2312" w:hAnsi="宋体" w:eastAsia="仿宋_GB2312" w:cs="仿宋_GB2312"/>
          <w:color w:val="000000"/>
          <w:kern w:val="0"/>
          <w:sz w:val="31"/>
          <w:szCs w:val="31"/>
          <w:lang w:val="en-US" w:eastAsia="zh-CN" w:bidi="ar"/>
        </w:rPr>
        <w:t>（含）</w:t>
      </w:r>
      <w:r>
        <w:rPr>
          <w:rFonts w:hint="default" w:ascii="Times New Roman" w:hAnsi="Times New Roman" w:eastAsia="宋体" w:cs="Times New Roman"/>
          <w:color w:val="000000"/>
          <w:kern w:val="0"/>
          <w:sz w:val="31"/>
          <w:szCs w:val="31"/>
          <w:lang w:val="en-US" w:eastAsia="zh-CN" w:bidi="ar"/>
        </w:rPr>
        <w:t xml:space="preserve">-100 </w:t>
      </w:r>
      <w:r>
        <w:rPr>
          <w:rFonts w:hint="eastAsia" w:ascii="仿宋_GB2312" w:hAnsi="宋体" w:eastAsia="仿宋_GB2312" w:cs="仿宋_GB2312"/>
          <w:color w:val="000000"/>
          <w:kern w:val="0"/>
          <w:sz w:val="31"/>
          <w:szCs w:val="31"/>
          <w:lang w:val="en-US" w:eastAsia="zh-CN" w:bidi="ar"/>
        </w:rPr>
        <w:t xml:space="preserve">分为优； </w:t>
      </w:r>
    </w:p>
    <w:p w14:paraId="1CC9F4C1">
      <w:pPr>
        <w:keepNext w:val="0"/>
        <w:keepLines w:val="0"/>
        <w:pageBreakBefore w:val="0"/>
        <w:widowControl w:val="0"/>
        <w:suppressLineNumbers w:val="0"/>
        <w:kinsoku/>
        <w:wordWrap/>
        <w:overflowPunct/>
        <w:topLinePunct w:val="0"/>
        <w:autoSpaceDE/>
        <w:autoSpaceDN/>
        <w:bidi w:val="0"/>
        <w:adjustRightInd/>
        <w:snapToGrid/>
        <w:spacing w:line="560" w:lineRule="exact"/>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综合得分在 </w:t>
      </w:r>
      <w:r>
        <w:rPr>
          <w:rFonts w:hint="default" w:ascii="Times New Roman" w:hAnsi="Times New Roman" w:eastAsia="宋体" w:cs="Times New Roman"/>
          <w:color w:val="000000"/>
          <w:kern w:val="0"/>
          <w:sz w:val="31"/>
          <w:szCs w:val="31"/>
          <w:lang w:val="en-US" w:eastAsia="zh-CN" w:bidi="ar"/>
        </w:rPr>
        <w:t>80</w:t>
      </w:r>
      <w:r>
        <w:rPr>
          <w:rFonts w:hint="eastAsia" w:ascii="仿宋_GB2312" w:hAnsi="宋体" w:eastAsia="仿宋_GB2312" w:cs="仿宋_GB2312"/>
          <w:color w:val="000000"/>
          <w:kern w:val="0"/>
          <w:sz w:val="31"/>
          <w:szCs w:val="31"/>
          <w:lang w:val="en-US" w:eastAsia="zh-CN" w:bidi="ar"/>
        </w:rPr>
        <w:t>（含）</w:t>
      </w:r>
      <w:r>
        <w:rPr>
          <w:rFonts w:hint="default" w:ascii="Times New Roman" w:hAnsi="Times New Roman" w:eastAsia="宋体" w:cs="Times New Roman"/>
          <w:color w:val="000000"/>
          <w:kern w:val="0"/>
          <w:sz w:val="31"/>
          <w:szCs w:val="31"/>
          <w:lang w:val="en-US" w:eastAsia="zh-CN" w:bidi="ar"/>
        </w:rPr>
        <w:t>-</w:t>
      </w:r>
      <w:r>
        <w:rPr>
          <w:rFonts w:hint="eastAsia" w:eastAsia="宋体" w:cs="Times New Roman"/>
          <w:color w:val="000000"/>
          <w:kern w:val="0"/>
          <w:sz w:val="31"/>
          <w:szCs w:val="31"/>
          <w:lang w:val="en-US" w:eastAsia="zh-CN" w:bidi="ar"/>
        </w:rPr>
        <w:t>90</w:t>
      </w:r>
      <w:r>
        <w:rPr>
          <w:rFonts w:hint="eastAsia" w:ascii="仿宋_GB2312" w:hAnsi="宋体" w:eastAsia="仿宋_GB2312" w:cs="仿宋_GB2312"/>
          <w:color w:val="000000"/>
          <w:kern w:val="0"/>
          <w:sz w:val="31"/>
          <w:szCs w:val="31"/>
          <w:lang w:val="en-US" w:eastAsia="zh-CN" w:bidi="ar"/>
        </w:rPr>
        <w:t xml:space="preserve">分为良； </w:t>
      </w:r>
    </w:p>
    <w:p w14:paraId="701EF8BE">
      <w:pPr>
        <w:keepNext w:val="0"/>
        <w:keepLines w:val="0"/>
        <w:pageBreakBefore w:val="0"/>
        <w:widowControl w:val="0"/>
        <w:suppressLineNumbers w:val="0"/>
        <w:kinsoku/>
        <w:wordWrap/>
        <w:overflowPunct/>
        <w:topLinePunct w:val="0"/>
        <w:autoSpaceDE/>
        <w:autoSpaceDN/>
        <w:bidi w:val="0"/>
        <w:adjustRightInd/>
        <w:snapToGrid/>
        <w:spacing w:line="560" w:lineRule="exact"/>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综合得分在 </w:t>
      </w:r>
      <w:r>
        <w:rPr>
          <w:rFonts w:hint="default" w:ascii="Times New Roman" w:hAnsi="Times New Roman" w:eastAsia="宋体" w:cs="Times New Roman"/>
          <w:color w:val="000000"/>
          <w:kern w:val="0"/>
          <w:sz w:val="31"/>
          <w:szCs w:val="31"/>
          <w:lang w:val="en-US" w:eastAsia="zh-CN" w:bidi="ar"/>
        </w:rPr>
        <w:t>60</w:t>
      </w:r>
      <w:r>
        <w:rPr>
          <w:rFonts w:hint="eastAsia" w:ascii="仿宋_GB2312" w:hAnsi="宋体" w:eastAsia="仿宋_GB2312" w:cs="仿宋_GB2312"/>
          <w:color w:val="000000"/>
          <w:kern w:val="0"/>
          <w:sz w:val="31"/>
          <w:szCs w:val="31"/>
          <w:lang w:val="en-US" w:eastAsia="zh-CN" w:bidi="ar"/>
        </w:rPr>
        <w:t>（含）</w:t>
      </w:r>
      <w:r>
        <w:rPr>
          <w:rFonts w:hint="default" w:ascii="Times New Roman" w:hAnsi="Times New Roman" w:eastAsia="宋体" w:cs="Times New Roman"/>
          <w:color w:val="000000"/>
          <w:kern w:val="0"/>
          <w:sz w:val="31"/>
          <w:szCs w:val="31"/>
          <w:lang w:val="en-US" w:eastAsia="zh-CN" w:bidi="ar"/>
        </w:rPr>
        <w:t xml:space="preserve">-80 </w:t>
      </w:r>
      <w:r>
        <w:rPr>
          <w:rFonts w:hint="eastAsia" w:ascii="仿宋_GB2312" w:hAnsi="宋体" w:eastAsia="仿宋_GB2312" w:cs="仿宋_GB2312"/>
          <w:color w:val="000000"/>
          <w:kern w:val="0"/>
          <w:sz w:val="31"/>
          <w:szCs w:val="31"/>
          <w:lang w:val="en-US" w:eastAsia="zh-CN" w:bidi="ar"/>
        </w:rPr>
        <w:t xml:space="preserve">分为中； </w:t>
      </w:r>
    </w:p>
    <w:p w14:paraId="6B4E4744">
      <w:pPr>
        <w:keepNext w:val="0"/>
        <w:keepLines w:val="0"/>
        <w:pageBreakBefore w:val="0"/>
        <w:widowControl w:val="0"/>
        <w:suppressLineNumbers w:val="0"/>
        <w:kinsoku/>
        <w:wordWrap/>
        <w:overflowPunct/>
        <w:topLinePunct w:val="0"/>
        <w:autoSpaceDE/>
        <w:autoSpaceDN/>
        <w:bidi w:val="0"/>
        <w:adjustRightInd/>
        <w:snapToGrid/>
        <w:spacing w:line="560" w:lineRule="exact"/>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综合得分在 </w:t>
      </w:r>
      <w:r>
        <w:rPr>
          <w:rFonts w:hint="default" w:ascii="Times New Roman" w:hAnsi="Times New Roman" w:eastAsia="宋体" w:cs="Times New Roman"/>
          <w:color w:val="000000"/>
          <w:kern w:val="0"/>
          <w:sz w:val="31"/>
          <w:szCs w:val="31"/>
          <w:lang w:val="en-US" w:eastAsia="zh-CN" w:bidi="ar"/>
        </w:rPr>
        <w:t xml:space="preserve">60 </w:t>
      </w:r>
      <w:r>
        <w:rPr>
          <w:rFonts w:hint="eastAsia" w:ascii="仿宋_GB2312" w:hAnsi="宋体" w:eastAsia="仿宋_GB2312" w:cs="仿宋_GB2312"/>
          <w:color w:val="000000"/>
          <w:kern w:val="0"/>
          <w:sz w:val="31"/>
          <w:szCs w:val="31"/>
          <w:lang w:val="en-US" w:eastAsia="zh-CN" w:bidi="ar"/>
        </w:rPr>
        <w:t xml:space="preserve">分以下为较差。 </w:t>
      </w:r>
    </w:p>
    <w:p w14:paraId="52011ED9">
      <w:pPr>
        <w:pStyle w:val="3"/>
        <w:keepNext w:val="0"/>
        <w:keepLines w:val="0"/>
        <w:pageBreakBefore w:val="0"/>
        <w:widowControl w:val="0"/>
        <w:kinsoku/>
        <w:wordWrap/>
        <w:overflowPunct/>
        <w:topLinePunct w:val="0"/>
        <w:autoSpaceDE/>
        <w:autoSpaceDN/>
        <w:bidi w:val="0"/>
        <w:spacing w:before="0" w:after="0" w:line="560" w:lineRule="exact"/>
        <w:ind w:firstLine="643" w:firstLineChars="200"/>
        <w:rPr>
          <w:rFonts w:hint="eastAsia" w:ascii="楷体_GB2312" w:hAnsi="楷体_GB2312" w:eastAsia="楷体_GB2312" w:cs="楷体_GB2312"/>
          <w:b/>
          <w:bCs/>
          <w:kern w:val="44"/>
          <w:lang w:val="en-US" w:eastAsia="zh-CN"/>
        </w:rPr>
      </w:pPr>
      <w:bookmarkStart w:id="15" w:name="_Toc18628"/>
      <w:bookmarkStart w:id="16" w:name="_Toc22135"/>
      <w:bookmarkStart w:id="17" w:name="_Toc21620"/>
      <w:bookmarkStart w:id="18" w:name="_Toc5693"/>
      <w:bookmarkStart w:id="19" w:name="_Toc27871"/>
      <w:bookmarkStart w:id="20" w:name="_Toc242186375"/>
      <w:r>
        <w:rPr>
          <w:rFonts w:hint="eastAsia" w:ascii="楷体_GB2312" w:hAnsi="楷体_GB2312" w:eastAsia="楷体_GB2312" w:cs="楷体_GB2312"/>
          <w:b/>
          <w:bCs/>
          <w:kern w:val="44"/>
          <w:lang w:val="en-US" w:eastAsia="zh-CN"/>
        </w:rPr>
        <w:t>（三）绩效评价工作过程</w:t>
      </w:r>
      <w:bookmarkEnd w:id="15"/>
      <w:bookmarkEnd w:id="16"/>
      <w:bookmarkEnd w:id="17"/>
      <w:bookmarkEnd w:id="18"/>
      <w:bookmarkEnd w:id="19"/>
      <w:bookmarkEnd w:id="20"/>
    </w:p>
    <w:p w14:paraId="0FD0B110">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rPr>
        <w:t>为确保绩效评价工作的客观公正，严格按照绩效评价工作程序组织实施绩效评价工作，主要程序如下：</w:t>
      </w:r>
    </w:p>
    <w:p w14:paraId="452D82D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rPr>
      </w:pPr>
      <w:r>
        <w:rPr>
          <w:rFonts w:hint="eastAsia" w:ascii="仿宋_GB2312" w:hAnsi="仿宋_GB2312" w:eastAsia="仿宋_GB2312" w:cs="仿宋_GB2312"/>
          <w:b/>
          <w:bCs/>
          <w:color w:val="auto"/>
          <w:kern w:val="44"/>
          <w:sz w:val="32"/>
          <w:szCs w:val="32"/>
          <w:lang w:val="en-US" w:eastAsia="zh-CN"/>
        </w:rPr>
        <w:t>1.</w:t>
      </w:r>
      <w:r>
        <w:rPr>
          <w:rFonts w:hint="eastAsia" w:ascii="仿宋_GB2312" w:hAnsi="仿宋_GB2312" w:eastAsia="仿宋_GB2312" w:cs="仿宋_GB2312"/>
          <w:b/>
          <w:bCs/>
          <w:color w:val="auto"/>
          <w:kern w:val="44"/>
          <w:sz w:val="32"/>
          <w:szCs w:val="32"/>
        </w:rPr>
        <w:t>组建评价工作组、遴选专家</w:t>
      </w:r>
    </w:p>
    <w:p w14:paraId="3B82200F">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default" w:ascii="Times New Roman" w:hAnsi="Times New Roman" w:eastAsia="仿宋_GB2312" w:cs="Times New Roman"/>
          <w:color w:val="000000"/>
          <w:kern w:val="0"/>
          <w:sz w:val="32"/>
          <w:szCs w:val="32"/>
        </w:rPr>
        <w:t>为保证绩效评价的规范性及绩效评价工作质量，委托中介机构和专家共同组建绩效评价工作组，全程参与和指导开展绩效评价工作。</w:t>
      </w:r>
      <w:r>
        <w:rPr>
          <w:rFonts w:hint="eastAsia" w:ascii="仿宋_GB2312" w:hAnsi="仿宋_GB2312" w:eastAsia="仿宋_GB2312" w:cs="仿宋_GB2312"/>
          <w:bCs/>
          <w:color w:val="auto"/>
          <w:kern w:val="44"/>
          <w:sz w:val="32"/>
          <w:szCs w:val="32"/>
        </w:rPr>
        <w:t>根据项目实际情况遴选</w:t>
      </w:r>
      <w:r>
        <w:rPr>
          <w:rFonts w:hint="eastAsia" w:ascii="仿宋_GB2312" w:hAnsi="仿宋_GB2312" w:cs="仿宋_GB2312"/>
          <w:bCs/>
          <w:color w:val="auto"/>
          <w:kern w:val="44"/>
          <w:sz w:val="32"/>
          <w:szCs w:val="32"/>
          <w:lang w:val="en-US" w:eastAsia="zh-CN"/>
        </w:rPr>
        <w:t>5名专家，包括相关</w:t>
      </w:r>
      <w:r>
        <w:rPr>
          <w:rFonts w:hint="eastAsia" w:ascii="仿宋_GB2312" w:hAnsi="仿宋_GB2312" w:eastAsia="仿宋_GB2312" w:cs="仿宋_GB2312"/>
          <w:bCs/>
          <w:color w:val="auto"/>
          <w:kern w:val="44"/>
          <w:sz w:val="32"/>
          <w:szCs w:val="32"/>
        </w:rPr>
        <w:t>业务专家</w:t>
      </w:r>
      <w:r>
        <w:rPr>
          <w:rFonts w:hint="eastAsia" w:ascii="仿宋_GB2312" w:hAnsi="仿宋_GB2312" w:cs="仿宋_GB2312"/>
          <w:bCs/>
          <w:color w:val="auto"/>
          <w:kern w:val="44"/>
          <w:sz w:val="32"/>
          <w:szCs w:val="32"/>
          <w:lang w:val="en-US" w:eastAsia="zh-CN"/>
        </w:rPr>
        <w:t>2名</w:t>
      </w:r>
      <w:r>
        <w:rPr>
          <w:rFonts w:hint="eastAsia" w:ascii="仿宋_GB2312" w:hAnsi="仿宋_GB2312" w:eastAsia="仿宋_GB2312" w:cs="仿宋_GB2312"/>
          <w:bCs/>
          <w:color w:val="auto"/>
          <w:kern w:val="44"/>
          <w:sz w:val="32"/>
          <w:szCs w:val="32"/>
        </w:rPr>
        <w:t>、财务专家</w:t>
      </w:r>
      <w:r>
        <w:rPr>
          <w:rFonts w:hint="eastAsia" w:ascii="仿宋_GB2312" w:hAnsi="仿宋_GB2312" w:cs="仿宋_GB2312"/>
          <w:bCs/>
          <w:color w:val="auto"/>
          <w:kern w:val="44"/>
          <w:sz w:val="32"/>
          <w:szCs w:val="32"/>
          <w:lang w:val="en-US" w:eastAsia="zh-CN"/>
        </w:rPr>
        <w:t>2名和</w:t>
      </w:r>
      <w:r>
        <w:rPr>
          <w:rFonts w:hint="eastAsia" w:ascii="仿宋_GB2312" w:hAnsi="仿宋_GB2312" w:eastAsia="仿宋_GB2312" w:cs="仿宋_GB2312"/>
          <w:bCs/>
          <w:color w:val="auto"/>
          <w:kern w:val="44"/>
          <w:sz w:val="32"/>
          <w:szCs w:val="32"/>
        </w:rPr>
        <w:t>绩效管理专家</w:t>
      </w:r>
      <w:r>
        <w:rPr>
          <w:rFonts w:hint="eastAsia" w:ascii="仿宋_GB2312" w:hAnsi="仿宋_GB2312" w:cs="仿宋_GB2312"/>
          <w:bCs/>
          <w:color w:val="auto"/>
          <w:kern w:val="44"/>
          <w:sz w:val="32"/>
          <w:szCs w:val="32"/>
          <w:lang w:val="en-US" w:eastAsia="zh-CN"/>
        </w:rPr>
        <w:t>1名组成</w:t>
      </w:r>
      <w:r>
        <w:rPr>
          <w:rFonts w:hint="eastAsia" w:ascii="仿宋_GB2312" w:hAnsi="仿宋_GB2312" w:eastAsia="仿宋_GB2312" w:cs="仿宋_GB2312"/>
          <w:bCs/>
          <w:color w:val="auto"/>
          <w:kern w:val="44"/>
          <w:sz w:val="32"/>
          <w:szCs w:val="32"/>
        </w:rPr>
        <w:t>专家组</w:t>
      </w:r>
      <w:r>
        <w:rPr>
          <w:rFonts w:hint="eastAsia" w:ascii="仿宋_GB2312" w:hAnsi="仿宋_GB2312" w:cs="仿宋_GB2312"/>
          <w:bCs/>
          <w:color w:val="auto"/>
          <w:kern w:val="44"/>
          <w:sz w:val="32"/>
          <w:szCs w:val="32"/>
          <w:lang w:eastAsia="zh-CN"/>
        </w:rPr>
        <w:t>，</w:t>
      </w:r>
      <w:r>
        <w:rPr>
          <w:rFonts w:hint="eastAsia" w:ascii="仿宋_GB2312" w:hAnsi="仿宋_GB2312" w:cs="仿宋_GB2312"/>
          <w:bCs/>
          <w:color w:val="auto"/>
          <w:kern w:val="44"/>
          <w:sz w:val="32"/>
          <w:szCs w:val="32"/>
          <w:lang w:val="en-US" w:eastAsia="zh-CN"/>
        </w:rPr>
        <w:t>由绩效管理专家任专家评价组组长</w:t>
      </w:r>
      <w:r>
        <w:rPr>
          <w:rFonts w:hint="eastAsia" w:ascii="仿宋_GB2312" w:hAnsi="仿宋_GB2312" w:eastAsia="仿宋_GB2312" w:cs="仿宋_GB2312"/>
          <w:bCs/>
          <w:color w:val="auto"/>
          <w:kern w:val="44"/>
          <w:sz w:val="32"/>
          <w:szCs w:val="32"/>
        </w:rPr>
        <w:t>。评价工作组对每名成员的职责及分工进行了明确，并对工作组全体人员和专家进行了培训。</w:t>
      </w:r>
    </w:p>
    <w:p w14:paraId="1468730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2.收集资料</w:t>
      </w:r>
    </w:p>
    <w:p w14:paraId="77AD13A0">
      <w:pPr>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 w:val="0"/>
          <w:bCs/>
          <w:color w:val="auto"/>
          <w:kern w:val="44"/>
          <w:sz w:val="32"/>
          <w:szCs w:val="32"/>
        </w:rPr>
        <w:t>评价工作组</w:t>
      </w:r>
      <w:r>
        <w:rPr>
          <w:rFonts w:hint="eastAsia" w:ascii="仿宋_GB2312" w:hAnsi="仿宋_GB2312" w:eastAsia="仿宋_GB2312" w:cs="仿宋_GB2312"/>
          <w:b w:val="0"/>
          <w:bCs/>
          <w:color w:val="auto"/>
          <w:kern w:val="44"/>
          <w:sz w:val="32"/>
          <w:szCs w:val="32"/>
          <w:lang w:val="en-US" w:eastAsia="zh-CN"/>
        </w:rPr>
        <w:t>按照绩效评价资料清单</w:t>
      </w:r>
      <w:r>
        <w:rPr>
          <w:rFonts w:hint="eastAsia" w:ascii="仿宋_GB2312" w:hAnsi="仿宋_GB2312" w:eastAsia="仿宋_GB2312" w:cs="仿宋_GB2312"/>
          <w:b w:val="0"/>
          <w:bCs/>
          <w:color w:val="auto"/>
          <w:kern w:val="44"/>
          <w:sz w:val="32"/>
          <w:szCs w:val="32"/>
        </w:rPr>
        <w:t>收集相关资料，</w:t>
      </w:r>
      <w:r>
        <w:rPr>
          <w:rFonts w:hint="eastAsia" w:ascii="仿宋_GB2312" w:hAnsi="仿宋_GB2312" w:cs="仿宋_GB2312"/>
          <w:bCs/>
          <w:color w:val="auto"/>
          <w:kern w:val="44"/>
          <w:sz w:val="32"/>
          <w:szCs w:val="32"/>
          <w:lang w:val="en-US" w:eastAsia="zh-CN"/>
        </w:rPr>
        <w:t>市投资促进中心财务处和宣传推广处</w:t>
      </w:r>
      <w:r>
        <w:rPr>
          <w:rFonts w:hint="eastAsia" w:ascii="仿宋_GB2312" w:hAnsi="仿宋_GB2312" w:eastAsia="仿宋_GB2312" w:cs="仿宋_GB2312"/>
          <w:bCs/>
          <w:color w:val="auto"/>
          <w:kern w:val="44"/>
          <w:sz w:val="32"/>
          <w:szCs w:val="32"/>
        </w:rPr>
        <w:t>完成资料准备工作，</w:t>
      </w:r>
      <w:r>
        <w:rPr>
          <w:rFonts w:hint="eastAsia" w:ascii="仿宋_GB2312" w:hAnsi="仿宋_GB2312" w:cs="仿宋_GB2312"/>
          <w:bCs/>
          <w:color w:val="auto"/>
          <w:kern w:val="44"/>
          <w:sz w:val="32"/>
          <w:szCs w:val="32"/>
          <w:lang w:val="en-US" w:eastAsia="zh-CN"/>
        </w:rPr>
        <w:t>评价工作组对项目资料按照评价目标分类整理，</w:t>
      </w:r>
      <w:r>
        <w:rPr>
          <w:rFonts w:hint="eastAsia" w:ascii="仿宋_GB2312" w:hAnsi="仿宋_GB2312" w:eastAsia="仿宋_GB2312" w:cs="仿宋_GB2312"/>
          <w:b w:val="0"/>
          <w:bCs/>
          <w:color w:val="auto"/>
          <w:kern w:val="44"/>
          <w:sz w:val="32"/>
          <w:szCs w:val="32"/>
        </w:rPr>
        <w:t>并对所收集的资料进行核实和全面分析，对缺失的资料要求</w:t>
      </w:r>
      <w:r>
        <w:rPr>
          <w:rFonts w:hint="eastAsia" w:ascii="仿宋_GB2312" w:hAnsi="仿宋_GB2312" w:eastAsia="仿宋_GB2312" w:cs="仿宋_GB2312"/>
          <w:b w:val="0"/>
          <w:bCs/>
          <w:color w:val="auto"/>
          <w:kern w:val="44"/>
          <w:sz w:val="32"/>
          <w:szCs w:val="32"/>
          <w:lang w:val="en-US" w:eastAsia="zh-CN"/>
        </w:rPr>
        <w:t>项目</w:t>
      </w:r>
      <w:r>
        <w:rPr>
          <w:rFonts w:hint="eastAsia" w:ascii="仿宋_GB2312" w:hAnsi="仿宋_GB2312" w:cs="仿宋_GB2312"/>
          <w:b w:val="0"/>
          <w:bCs/>
          <w:color w:val="auto"/>
          <w:kern w:val="44"/>
          <w:sz w:val="32"/>
          <w:szCs w:val="32"/>
          <w:lang w:val="en-US" w:eastAsia="zh-CN"/>
        </w:rPr>
        <w:t>实施</w:t>
      </w:r>
      <w:r>
        <w:rPr>
          <w:rFonts w:hint="eastAsia" w:ascii="仿宋_GB2312" w:hAnsi="仿宋_GB2312" w:eastAsia="仿宋_GB2312" w:cs="仿宋_GB2312"/>
          <w:b w:val="0"/>
          <w:bCs/>
          <w:color w:val="auto"/>
          <w:kern w:val="44"/>
          <w:sz w:val="32"/>
          <w:szCs w:val="32"/>
          <w:lang w:val="en-US" w:eastAsia="zh-CN"/>
        </w:rPr>
        <w:t>部门</w:t>
      </w:r>
      <w:r>
        <w:rPr>
          <w:rFonts w:hint="eastAsia" w:ascii="仿宋_GB2312" w:hAnsi="仿宋_GB2312" w:eastAsia="仿宋_GB2312" w:cs="仿宋_GB2312"/>
          <w:b w:val="0"/>
          <w:bCs/>
          <w:color w:val="auto"/>
          <w:kern w:val="44"/>
          <w:sz w:val="32"/>
          <w:szCs w:val="32"/>
        </w:rPr>
        <w:t>及时补充；对重要的和存在疑问的基础数据资料通过</w:t>
      </w:r>
      <w:r>
        <w:rPr>
          <w:rFonts w:hint="eastAsia" w:ascii="仿宋_GB2312" w:hAnsi="仿宋_GB2312" w:eastAsia="仿宋_GB2312" w:cs="仿宋_GB2312"/>
          <w:b w:val="0"/>
          <w:bCs/>
          <w:color w:val="auto"/>
          <w:kern w:val="44"/>
          <w:sz w:val="32"/>
          <w:szCs w:val="32"/>
          <w:lang w:val="en-US" w:eastAsia="zh-CN"/>
        </w:rPr>
        <w:t>现场、</w:t>
      </w:r>
      <w:r>
        <w:rPr>
          <w:rFonts w:hint="eastAsia" w:ascii="仿宋_GB2312" w:hAnsi="仿宋_GB2312" w:eastAsia="仿宋_GB2312" w:cs="仿宋_GB2312"/>
          <w:b w:val="0"/>
          <w:bCs/>
          <w:color w:val="auto"/>
          <w:kern w:val="44"/>
          <w:sz w:val="32"/>
          <w:szCs w:val="32"/>
        </w:rPr>
        <w:t>电话、微信、邮件等</w:t>
      </w:r>
      <w:r>
        <w:rPr>
          <w:rFonts w:hint="eastAsia" w:ascii="仿宋_GB2312" w:hAnsi="仿宋_GB2312" w:eastAsia="仿宋_GB2312" w:cs="仿宋_GB2312"/>
          <w:b w:val="0"/>
          <w:bCs/>
          <w:color w:val="auto"/>
          <w:kern w:val="44"/>
          <w:sz w:val="32"/>
          <w:szCs w:val="32"/>
          <w:lang w:val="en-US" w:eastAsia="zh-CN"/>
        </w:rPr>
        <w:t>不同方式</w:t>
      </w:r>
      <w:r>
        <w:rPr>
          <w:rFonts w:hint="eastAsia" w:ascii="仿宋_GB2312" w:hAnsi="仿宋_GB2312" w:eastAsia="仿宋_GB2312" w:cs="仿宋_GB2312"/>
          <w:b w:val="0"/>
          <w:bCs/>
          <w:color w:val="auto"/>
          <w:kern w:val="44"/>
          <w:sz w:val="32"/>
          <w:szCs w:val="32"/>
        </w:rPr>
        <w:t>进行核实确认。</w:t>
      </w:r>
    </w:p>
    <w:p w14:paraId="1464F89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3.研究制定指标体系</w:t>
      </w:r>
    </w:p>
    <w:p w14:paraId="5C4D23AC">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rPr>
        <w:t>评价工作组根据项目实际情况，与评价专家共同细化评价指标，明确评价标准，最终确定项目评价指标体系。</w:t>
      </w:r>
    </w:p>
    <w:p w14:paraId="2D8056C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4.筹备和召开专家评价会</w:t>
      </w:r>
    </w:p>
    <w:p w14:paraId="6358A90C">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Times New Roman" w:hAnsi="Times New Roman" w:cs="Times New Roman"/>
          <w:color w:val="000000"/>
          <w:kern w:val="0"/>
          <w:sz w:val="32"/>
          <w:szCs w:val="32"/>
          <w:lang w:val="en-US" w:eastAsia="zh-CN"/>
        </w:rPr>
        <w:t>2024年5月14日，</w:t>
      </w:r>
      <w:r>
        <w:rPr>
          <w:rFonts w:hint="default" w:ascii="Times New Roman" w:hAnsi="Times New Roman" w:eastAsia="仿宋_GB2312" w:cs="Times New Roman"/>
          <w:color w:val="000000"/>
          <w:kern w:val="0"/>
          <w:sz w:val="32"/>
          <w:szCs w:val="32"/>
        </w:rPr>
        <w:t>评价工作组组织专家组、项目实施处室召开绩效评价专家会。</w:t>
      </w:r>
      <w:r>
        <w:rPr>
          <w:rFonts w:hint="eastAsia" w:ascii="Times New Roman" w:hAnsi="Times New Roman" w:cs="Times New Roman"/>
          <w:color w:val="000000"/>
          <w:kern w:val="0"/>
          <w:sz w:val="32"/>
          <w:szCs w:val="32"/>
          <w:lang w:val="en-US" w:eastAsia="zh-CN"/>
        </w:rPr>
        <w:t>会前，</w:t>
      </w:r>
      <w:r>
        <w:rPr>
          <w:rFonts w:hint="default" w:ascii="Times New Roman" w:hAnsi="Times New Roman" w:eastAsia="仿宋_GB2312" w:cs="Times New Roman"/>
          <w:color w:val="000000"/>
          <w:kern w:val="0"/>
          <w:sz w:val="32"/>
          <w:szCs w:val="32"/>
        </w:rPr>
        <w:t>由评价工作组向专家介绍了《财政支出绩效评价专家工作规则》，签署了专家承诺书，各位专家分别介绍了各自梳理出的问题</w:t>
      </w:r>
      <w:r>
        <w:rPr>
          <w:rFonts w:hint="eastAsia" w:ascii="仿宋_GB2312" w:hAnsi="仿宋_GB2312" w:eastAsia="仿宋_GB2312" w:cs="仿宋_GB2312"/>
          <w:bCs/>
          <w:color w:val="auto"/>
          <w:kern w:val="44"/>
          <w:sz w:val="32"/>
          <w:szCs w:val="32"/>
          <w:highlight w:val="none"/>
        </w:rPr>
        <w:t>。评价会上，专家</w:t>
      </w:r>
      <w:r>
        <w:rPr>
          <w:rFonts w:hint="eastAsia" w:ascii="仿宋_GB2312" w:hAnsi="仿宋_GB2312" w:cs="仿宋_GB2312"/>
          <w:bCs/>
          <w:color w:val="auto"/>
          <w:kern w:val="44"/>
          <w:sz w:val="32"/>
          <w:szCs w:val="32"/>
          <w:highlight w:val="none"/>
          <w:lang w:val="en-US" w:eastAsia="zh-CN"/>
        </w:rPr>
        <w:t>组成员</w:t>
      </w:r>
      <w:r>
        <w:rPr>
          <w:rFonts w:hint="eastAsia" w:ascii="仿宋_GB2312" w:hAnsi="仿宋_GB2312" w:eastAsia="仿宋_GB2312" w:cs="仿宋_GB2312"/>
          <w:bCs/>
          <w:color w:val="auto"/>
          <w:kern w:val="44"/>
          <w:sz w:val="32"/>
          <w:szCs w:val="32"/>
          <w:highlight w:val="none"/>
        </w:rPr>
        <w:t>与</w:t>
      </w:r>
      <w:r>
        <w:rPr>
          <w:rFonts w:hint="eastAsia" w:ascii="仿宋_GB2312" w:hAnsi="仿宋_GB2312" w:cs="仿宋_GB2312"/>
          <w:bCs/>
          <w:color w:val="auto"/>
          <w:kern w:val="44"/>
          <w:sz w:val="32"/>
          <w:szCs w:val="32"/>
          <w:lang w:val="en-US" w:eastAsia="zh-CN"/>
        </w:rPr>
        <w:t>财务处、宣传推广处</w:t>
      </w:r>
      <w:r>
        <w:rPr>
          <w:rFonts w:hint="eastAsia" w:ascii="仿宋_GB2312" w:hAnsi="仿宋_GB2312" w:eastAsia="仿宋_GB2312" w:cs="仿宋_GB2312"/>
          <w:bCs/>
          <w:color w:val="auto"/>
          <w:kern w:val="44"/>
          <w:sz w:val="32"/>
          <w:szCs w:val="32"/>
          <w:highlight w:val="none"/>
        </w:rPr>
        <w:t>进行了</w:t>
      </w:r>
      <w:r>
        <w:rPr>
          <w:rFonts w:hint="eastAsia" w:ascii="仿宋_GB2312" w:hAnsi="仿宋_GB2312" w:eastAsia="仿宋_GB2312" w:cs="仿宋_GB2312"/>
          <w:bCs/>
          <w:color w:val="auto"/>
          <w:kern w:val="44"/>
          <w:sz w:val="32"/>
          <w:szCs w:val="32"/>
        </w:rPr>
        <w:t>充分讨论和沟通，</w:t>
      </w:r>
      <w:r>
        <w:rPr>
          <w:rFonts w:hint="eastAsia" w:ascii="仿宋_GB2312" w:hAnsi="仿宋_GB2312" w:cs="仿宋_GB2312"/>
          <w:bCs/>
          <w:color w:val="auto"/>
          <w:kern w:val="44"/>
          <w:sz w:val="32"/>
          <w:szCs w:val="32"/>
          <w:lang w:val="en-US" w:eastAsia="zh-CN"/>
        </w:rPr>
        <w:t>会后，专家组成员</w:t>
      </w:r>
      <w:r>
        <w:rPr>
          <w:rFonts w:hint="eastAsia" w:ascii="仿宋_GB2312" w:hAnsi="仿宋_GB2312" w:eastAsia="仿宋_GB2312" w:cs="仿宋_GB2312"/>
          <w:bCs/>
          <w:color w:val="auto"/>
          <w:kern w:val="44"/>
          <w:sz w:val="32"/>
          <w:szCs w:val="32"/>
        </w:rPr>
        <w:t>对该项目的绩效情况进行评价和打分，并出具评价意见。</w:t>
      </w:r>
    </w:p>
    <w:p w14:paraId="72469F9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kern w:val="44"/>
          <w:sz w:val="32"/>
          <w:szCs w:val="32"/>
          <w:lang w:val="en-US" w:eastAsia="zh-CN"/>
        </w:rPr>
      </w:pPr>
      <w:r>
        <w:rPr>
          <w:rFonts w:hint="eastAsia" w:ascii="仿宋_GB2312" w:hAnsi="仿宋_GB2312" w:eastAsia="仿宋_GB2312" w:cs="仿宋_GB2312"/>
          <w:b/>
          <w:bCs/>
          <w:kern w:val="44"/>
          <w:sz w:val="32"/>
          <w:szCs w:val="32"/>
          <w:lang w:val="en-US" w:eastAsia="zh-CN"/>
        </w:rPr>
        <w:t>5.撰写绩效评价报告</w:t>
      </w:r>
    </w:p>
    <w:p w14:paraId="4EAE39FE">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rPr>
        <w:t>评价工作组在专家评价会结束后，汇总专家打分和评价意见，完成绩效评价报告初稿的撰写工作。经与项目</w:t>
      </w:r>
      <w:r>
        <w:rPr>
          <w:rFonts w:hint="eastAsia" w:ascii="仿宋_GB2312" w:hAnsi="仿宋_GB2312" w:cs="仿宋_GB2312"/>
          <w:bCs/>
          <w:color w:val="auto"/>
          <w:kern w:val="44"/>
          <w:sz w:val="32"/>
          <w:szCs w:val="32"/>
          <w:lang w:val="en-US" w:eastAsia="zh-CN"/>
        </w:rPr>
        <w:t>实施部门</w:t>
      </w:r>
      <w:r>
        <w:rPr>
          <w:rFonts w:hint="eastAsia" w:ascii="仿宋_GB2312" w:hAnsi="仿宋_GB2312" w:eastAsia="仿宋_GB2312" w:cs="仿宋_GB2312"/>
          <w:bCs/>
          <w:color w:val="auto"/>
          <w:kern w:val="44"/>
          <w:sz w:val="32"/>
          <w:szCs w:val="32"/>
        </w:rPr>
        <w:t>沟通反馈后，形成评价报告终稿。</w:t>
      </w:r>
    </w:p>
    <w:p w14:paraId="2B7D9042">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rPr>
          <w:rFonts w:hint="eastAsia" w:ascii="黑体" w:hAnsi="黑体" w:eastAsia="黑体" w:cs="Times New Roman"/>
          <w:b w:val="0"/>
          <w:bCs w:val="0"/>
          <w:sz w:val="32"/>
          <w:szCs w:val="32"/>
        </w:rPr>
      </w:pPr>
      <w:bookmarkStart w:id="21" w:name="_Toc724"/>
      <w:bookmarkStart w:id="22" w:name="_Toc4346"/>
      <w:bookmarkStart w:id="23" w:name="_Toc20909"/>
      <w:bookmarkStart w:id="24" w:name="_Toc28840"/>
      <w:bookmarkStart w:id="25" w:name="_Toc974886006"/>
      <w:bookmarkStart w:id="26" w:name="_Toc7171"/>
      <w:r>
        <w:rPr>
          <w:rFonts w:hint="eastAsia" w:ascii="黑体" w:hAnsi="黑体" w:eastAsia="黑体" w:cs="Times New Roman"/>
          <w:b w:val="0"/>
          <w:bCs w:val="0"/>
          <w:sz w:val="32"/>
          <w:szCs w:val="32"/>
          <w:lang w:val="en-US" w:eastAsia="zh-CN"/>
        </w:rPr>
        <w:t>三、</w:t>
      </w:r>
      <w:r>
        <w:rPr>
          <w:rFonts w:hint="eastAsia" w:ascii="黑体" w:hAnsi="黑体" w:eastAsia="黑体" w:cs="Times New Roman"/>
          <w:b w:val="0"/>
          <w:bCs w:val="0"/>
          <w:sz w:val="32"/>
          <w:szCs w:val="32"/>
        </w:rPr>
        <w:t>综合评价情况及评价结论</w:t>
      </w:r>
      <w:bookmarkEnd w:id="21"/>
      <w:bookmarkEnd w:id="22"/>
      <w:bookmarkEnd w:id="23"/>
      <w:bookmarkEnd w:id="24"/>
      <w:bookmarkEnd w:id="25"/>
      <w:bookmarkEnd w:id="26"/>
    </w:p>
    <w:p w14:paraId="3E32A634">
      <w:pPr>
        <w:keepNext w:val="0"/>
        <w:keepLines w:val="0"/>
        <w:pageBreakBefore w:val="0"/>
        <w:widowControl w:val="0"/>
        <w:kinsoku/>
        <w:wordWrap/>
        <w:overflowPunct/>
        <w:topLinePunct w:val="0"/>
        <w:autoSpaceDE/>
        <w:autoSpaceDN/>
        <w:bidi w:val="0"/>
        <w:spacing w:line="560" w:lineRule="exact"/>
        <w:ind w:firstLine="640"/>
        <w:rPr>
          <w:rFonts w:hint="eastAsia" w:ascii="仿宋_GB2312" w:hAnsi="Times New Roman" w:eastAsia="仿宋_GB2312" w:cs="Times New Roman"/>
          <w:sz w:val="24"/>
          <w:szCs w:val="24"/>
          <w:highlight w:val="none"/>
        </w:rPr>
      </w:pPr>
      <w:bookmarkStart w:id="27" w:name="_Toc8158011"/>
      <w:bookmarkStart w:id="28" w:name="_Toc7265"/>
      <w:r>
        <w:rPr>
          <w:rFonts w:hint="eastAsia" w:ascii="仿宋_GB2312" w:cs="Times New Roman"/>
          <w:color w:val="auto"/>
          <w:sz w:val="32"/>
          <w:szCs w:val="32"/>
          <w:highlight w:val="none"/>
          <w:lang w:val="en-US" w:eastAsia="zh-CN"/>
        </w:rPr>
        <w:t>北京市对外招商推介宣传片</w:t>
      </w:r>
      <w:r>
        <w:rPr>
          <w:rFonts w:hint="eastAsia" w:ascii="仿宋_GB2312" w:hAnsi="Times New Roman" w:eastAsia="仿宋_GB2312" w:cs="Times New Roman"/>
          <w:color w:val="auto"/>
          <w:sz w:val="32"/>
          <w:szCs w:val="32"/>
          <w:highlight w:val="none"/>
        </w:rPr>
        <w:t>项目综合得分</w:t>
      </w:r>
      <w:r>
        <w:rPr>
          <w:rFonts w:hint="eastAsia" w:ascii="仿宋_GB2312" w:cs="Times New Roman"/>
          <w:color w:val="auto"/>
          <w:sz w:val="32"/>
          <w:szCs w:val="32"/>
          <w:highlight w:val="none"/>
          <w:lang w:val="en-US" w:eastAsia="zh-CN"/>
        </w:rPr>
        <w:t>88.50</w:t>
      </w:r>
      <w:r>
        <w:rPr>
          <w:rFonts w:hint="eastAsia" w:ascii="仿宋_GB2312" w:hAnsi="Times New Roman" w:eastAsia="仿宋_GB2312" w:cs="Times New Roman"/>
          <w:color w:val="auto"/>
          <w:sz w:val="32"/>
          <w:szCs w:val="32"/>
          <w:highlight w:val="none"/>
        </w:rPr>
        <w:t>分，其中，项目决策</w:t>
      </w:r>
      <w:r>
        <w:rPr>
          <w:rFonts w:hint="eastAsia" w:ascii="仿宋_GB2312" w:cs="Times New Roman"/>
          <w:color w:val="auto"/>
          <w:sz w:val="32"/>
          <w:szCs w:val="32"/>
          <w:highlight w:val="none"/>
          <w:lang w:val="en-US" w:eastAsia="zh-CN"/>
        </w:rPr>
        <w:t>9.20</w:t>
      </w:r>
      <w:r>
        <w:rPr>
          <w:rFonts w:hint="eastAsia" w:ascii="仿宋_GB2312" w:hAnsi="Times New Roman" w:eastAsia="仿宋_GB2312" w:cs="Times New Roman"/>
          <w:color w:val="auto"/>
          <w:sz w:val="32"/>
          <w:szCs w:val="32"/>
          <w:highlight w:val="none"/>
        </w:rPr>
        <w:t>分、项目</w:t>
      </w:r>
      <w:r>
        <w:rPr>
          <w:rFonts w:hint="eastAsia" w:ascii="仿宋_GB2312" w:hAnsi="Times New Roman" w:eastAsia="仿宋_GB2312" w:cs="Times New Roman"/>
          <w:color w:val="auto"/>
          <w:sz w:val="32"/>
          <w:szCs w:val="32"/>
          <w:highlight w:val="none"/>
          <w:lang w:val="en-US" w:eastAsia="zh-CN"/>
        </w:rPr>
        <w:t>过程</w:t>
      </w:r>
      <w:r>
        <w:rPr>
          <w:rFonts w:hint="eastAsia" w:ascii="仿宋_GB2312" w:cs="Times New Roman"/>
          <w:color w:val="auto"/>
          <w:sz w:val="32"/>
          <w:szCs w:val="32"/>
          <w:highlight w:val="none"/>
          <w:lang w:val="en-US" w:eastAsia="zh-CN"/>
        </w:rPr>
        <w:t>18.30</w:t>
      </w:r>
      <w:r>
        <w:rPr>
          <w:rFonts w:hint="eastAsia" w:ascii="仿宋_GB2312" w:hAnsi="Times New Roman" w:eastAsia="仿宋_GB2312" w:cs="Times New Roman"/>
          <w:color w:val="auto"/>
          <w:sz w:val="32"/>
          <w:szCs w:val="32"/>
          <w:highlight w:val="none"/>
        </w:rPr>
        <w:t>分、</w:t>
      </w:r>
      <w:r>
        <w:rPr>
          <w:rFonts w:hint="eastAsia" w:ascii="仿宋_GB2312" w:hAnsi="Times New Roman" w:eastAsia="仿宋_GB2312" w:cs="Times New Roman"/>
          <w:color w:val="auto"/>
          <w:sz w:val="32"/>
          <w:szCs w:val="32"/>
          <w:highlight w:val="none"/>
          <w:lang w:val="en-US" w:eastAsia="zh-CN"/>
        </w:rPr>
        <w:t>项目产出</w:t>
      </w:r>
      <w:r>
        <w:rPr>
          <w:rFonts w:hint="eastAsia" w:ascii="仿宋_GB2312" w:cs="Times New Roman"/>
          <w:color w:val="auto"/>
          <w:sz w:val="32"/>
          <w:szCs w:val="32"/>
          <w:highlight w:val="none"/>
          <w:lang w:val="en-US" w:eastAsia="zh-CN"/>
        </w:rPr>
        <w:t>35.20分</w:t>
      </w:r>
      <w:r>
        <w:rPr>
          <w:rFonts w:hint="eastAsia" w:ascii="仿宋_GB2312" w:hAnsi="Times New Roman"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rPr>
        <w:t>项目</w:t>
      </w:r>
      <w:r>
        <w:rPr>
          <w:rFonts w:hint="eastAsia" w:ascii="仿宋_GB2312" w:hAnsi="Times New Roman" w:eastAsia="仿宋_GB2312" w:cs="Times New Roman"/>
          <w:color w:val="auto"/>
          <w:sz w:val="32"/>
          <w:szCs w:val="32"/>
          <w:highlight w:val="none"/>
          <w:lang w:val="en-US" w:eastAsia="zh-CN"/>
        </w:rPr>
        <w:t>效益</w:t>
      </w:r>
      <w:r>
        <w:rPr>
          <w:rFonts w:hint="eastAsia" w:ascii="仿宋_GB2312" w:cs="Times New Roman"/>
          <w:color w:val="auto"/>
          <w:sz w:val="32"/>
          <w:szCs w:val="32"/>
          <w:highlight w:val="none"/>
          <w:lang w:val="en-US" w:eastAsia="zh-CN"/>
        </w:rPr>
        <w:t>25.80</w:t>
      </w:r>
      <w:r>
        <w:rPr>
          <w:rFonts w:hint="eastAsia" w:ascii="仿宋_GB2312" w:hAnsi="Times New Roman" w:eastAsia="仿宋_GB2312" w:cs="Times New Roman"/>
          <w:color w:val="auto"/>
          <w:sz w:val="32"/>
          <w:szCs w:val="32"/>
          <w:highlight w:val="none"/>
        </w:rPr>
        <w:t>分，项目综合绩效评定结论为“</w:t>
      </w:r>
      <w:r>
        <w:rPr>
          <w:rFonts w:hint="eastAsia" w:ascii="仿宋_GB2312" w:cs="Times New Roman"/>
          <w:color w:val="auto"/>
          <w:sz w:val="32"/>
          <w:szCs w:val="32"/>
          <w:highlight w:val="none"/>
          <w:lang w:val="en-US" w:eastAsia="zh-CN"/>
        </w:rPr>
        <w:t>良</w:t>
      </w:r>
      <w:r>
        <w:rPr>
          <w:rFonts w:hint="eastAsia" w:ascii="仿宋_GB2312" w:hAnsi="Times New Roman" w:eastAsia="仿宋_GB2312" w:cs="Times New Roman"/>
          <w:color w:val="auto"/>
          <w:sz w:val="32"/>
          <w:szCs w:val="32"/>
          <w:highlight w:val="none"/>
        </w:rPr>
        <w:t>”。具体情况详见</w:t>
      </w:r>
      <w:r>
        <w:rPr>
          <w:rFonts w:hint="eastAsia" w:ascii="仿宋_GB2312" w:cs="Times New Roman"/>
          <w:color w:val="auto"/>
          <w:sz w:val="32"/>
          <w:szCs w:val="32"/>
          <w:highlight w:val="none"/>
          <w:lang w:val="en-US" w:eastAsia="zh-CN"/>
        </w:rPr>
        <w:t>表3</w:t>
      </w:r>
      <w:r>
        <w:rPr>
          <w:rFonts w:hint="eastAsia" w:ascii="仿宋_GB2312" w:hAnsi="Times New Roman" w:eastAsia="仿宋_GB2312" w:cs="Times New Roman"/>
          <w:color w:val="auto"/>
          <w:sz w:val="32"/>
          <w:szCs w:val="32"/>
          <w:highlight w:val="none"/>
        </w:rPr>
        <w:t>。</w:t>
      </w:r>
    </w:p>
    <w:p w14:paraId="3A5825FC">
      <w:pPr>
        <w:pStyle w:val="8"/>
        <w:keepNext w:val="0"/>
        <w:keepLines w:val="0"/>
        <w:pageBreakBefore w:val="0"/>
        <w:widowControl w:val="0"/>
        <w:kinsoku/>
        <w:wordWrap/>
        <w:overflowPunct/>
        <w:topLinePunct w:val="0"/>
        <w:autoSpaceDE/>
        <w:autoSpaceDN/>
        <w:bidi w:val="0"/>
        <w:spacing w:line="560" w:lineRule="exact"/>
        <w:ind w:left="-201" w:leftChars="-67"/>
        <w:jc w:val="center"/>
        <w:rPr>
          <w:rFonts w:ascii="Times New Roman" w:hAnsi="Times New Roman" w:eastAsia="仿宋_GB2312" w:cs="Times New Roman"/>
          <w:b/>
          <w:sz w:val="32"/>
          <w:szCs w:val="32"/>
          <w:highlight w:val="none"/>
        </w:rPr>
      </w:pPr>
      <w:r>
        <w:rPr>
          <w:rFonts w:hint="eastAsia" w:cs="Times New Roman"/>
          <w:b/>
          <w:sz w:val="32"/>
          <w:szCs w:val="32"/>
          <w:highlight w:val="none"/>
          <w:lang w:val="en-US" w:eastAsia="zh-CN"/>
        </w:rPr>
        <w:t>表3：</w:t>
      </w:r>
      <w:r>
        <w:rPr>
          <w:rFonts w:hint="eastAsia" w:ascii="Times New Roman" w:hAnsi="Times New Roman" w:eastAsia="仿宋_GB2312" w:cs="Times New Roman"/>
          <w:b/>
          <w:sz w:val="32"/>
          <w:szCs w:val="32"/>
          <w:highlight w:val="none"/>
        </w:rPr>
        <w:t>项目</w:t>
      </w:r>
      <w:r>
        <w:rPr>
          <w:rFonts w:ascii="Times New Roman" w:hAnsi="Times New Roman" w:eastAsia="仿宋_GB2312" w:cs="Times New Roman"/>
          <w:b/>
          <w:sz w:val="32"/>
          <w:szCs w:val="32"/>
          <w:highlight w:val="none"/>
        </w:rPr>
        <w:t>绩效评价结论一览表</w:t>
      </w:r>
    </w:p>
    <w:tbl>
      <w:tblPr>
        <w:tblStyle w:val="15"/>
        <w:tblW w:w="8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2168"/>
        <w:gridCol w:w="2145"/>
        <w:gridCol w:w="1938"/>
        <w:gridCol w:w="2207"/>
      </w:tblGrid>
      <w:tr w14:paraId="24ED9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0A5DA85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评价内容</w:t>
            </w:r>
          </w:p>
        </w:tc>
        <w:tc>
          <w:tcPr>
            <w:tcW w:w="2145" w:type="dxa"/>
            <w:shd w:val="clear" w:color="auto" w:fill="auto"/>
            <w:noWrap w:val="0"/>
            <w:vAlign w:val="center"/>
          </w:tcPr>
          <w:p w14:paraId="1D39238D">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分值</w:t>
            </w:r>
          </w:p>
        </w:tc>
        <w:tc>
          <w:tcPr>
            <w:tcW w:w="1938" w:type="dxa"/>
            <w:shd w:val="clear" w:color="auto" w:fill="auto"/>
            <w:noWrap w:val="0"/>
            <w:vAlign w:val="center"/>
          </w:tcPr>
          <w:p w14:paraId="49BF8005">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评价得分</w:t>
            </w:r>
          </w:p>
        </w:tc>
        <w:tc>
          <w:tcPr>
            <w:tcW w:w="2207" w:type="dxa"/>
            <w:shd w:val="clear" w:color="auto" w:fill="auto"/>
            <w:noWrap w:val="0"/>
            <w:vAlign w:val="center"/>
          </w:tcPr>
          <w:p w14:paraId="6A4EEC59">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得分率</w:t>
            </w:r>
          </w:p>
        </w:tc>
      </w:tr>
      <w:tr w14:paraId="0683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540D4C79">
            <w:pPr>
              <w:pStyle w:val="4"/>
              <w:keepNext w:val="0"/>
              <w:keepLines w:val="0"/>
              <w:pageBreakBefore w:val="0"/>
              <w:widowControl w:val="0"/>
              <w:kinsoku/>
              <w:wordWrap/>
              <w:overflowPunct/>
              <w:topLinePunct w:val="0"/>
              <w:autoSpaceDE/>
              <w:autoSpaceDN/>
              <w:bidi w:val="0"/>
              <w:adjustRightInd w:val="0"/>
              <w:snapToGrid w:val="0"/>
              <w:spacing w:before="120" w:after="60" w:line="560" w:lineRule="exact"/>
              <w:ind w:left="0" w:leftChars="0"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项目决策</w:t>
            </w:r>
          </w:p>
        </w:tc>
        <w:tc>
          <w:tcPr>
            <w:tcW w:w="2145" w:type="dxa"/>
            <w:shd w:val="clear" w:color="auto" w:fill="auto"/>
            <w:noWrap w:val="0"/>
            <w:vAlign w:val="center"/>
          </w:tcPr>
          <w:p w14:paraId="66ED3953">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10.00</w:t>
            </w:r>
          </w:p>
        </w:tc>
        <w:tc>
          <w:tcPr>
            <w:tcW w:w="1938" w:type="dxa"/>
            <w:shd w:val="clear" w:color="auto" w:fill="auto"/>
            <w:noWrap w:val="0"/>
            <w:vAlign w:val="center"/>
          </w:tcPr>
          <w:p w14:paraId="0677AB8A">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9.20</w:t>
            </w:r>
          </w:p>
        </w:tc>
        <w:tc>
          <w:tcPr>
            <w:tcW w:w="2207" w:type="dxa"/>
            <w:shd w:val="clear" w:color="auto" w:fill="auto"/>
            <w:noWrap w:val="0"/>
            <w:vAlign w:val="center"/>
          </w:tcPr>
          <w:p w14:paraId="198640F9">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92%</w:t>
            </w:r>
          </w:p>
        </w:tc>
      </w:tr>
      <w:tr w14:paraId="5022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55164607">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项目</w:t>
            </w:r>
            <w:r>
              <w:rPr>
                <w:rFonts w:hint="eastAsia" w:ascii="仿宋" w:hAnsi="仿宋" w:eastAsia="仿宋" w:cs="仿宋"/>
                <w:b w:val="0"/>
                <w:bCs/>
                <w:sz w:val="24"/>
                <w:szCs w:val="24"/>
                <w:highlight w:val="none"/>
                <w:lang w:val="en-US" w:eastAsia="zh-CN"/>
              </w:rPr>
              <w:t>过程</w:t>
            </w:r>
          </w:p>
        </w:tc>
        <w:tc>
          <w:tcPr>
            <w:tcW w:w="2145" w:type="dxa"/>
            <w:shd w:val="clear" w:color="auto" w:fill="auto"/>
            <w:noWrap w:val="0"/>
            <w:vAlign w:val="center"/>
          </w:tcPr>
          <w:p w14:paraId="6C801820">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20.00</w:t>
            </w:r>
          </w:p>
        </w:tc>
        <w:tc>
          <w:tcPr>
            <w:tcW w:w="1938" w:type="dxa"/>
            <w:shd w:val="clear" w:color="auto" w:fill="auto"/>
            <w:noWrap w:val="0"/>
            <w:vAlign w:val="center"/>
          </w:tcPr>
          <w:p w14:paraId="2A3B84E0">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18.30</w:t>
            </w:r>
          </w:p>
        </w:tc>
        <w:tc>
          <w:tcPr>
            <w:tcW w:w="2207" w:type="dxa"/>
            <w:shd w:val="clear" w:color="auto" w:fill="auto"/>
            <w:noWrap w:val="0"/>
            <w:vAlign w:val="center"/>
          </w:tcPr>
          <w:p w14:paraId="4772E047">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91.5%</w:t>
            </w:r>
          </w:p>
        </w:tc>
      </w:tr>
      <w:tr w14:paraId="48C1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0CDA381D">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项目</w:t>
            </w:r>
            <w:r>
              <w:rPr>
                <w:rFonts w:hint="eastAsia" w:ascii="仿宋" w:hAnsi="仿宋" w:eastAsia="仿宋" w:cs="仿宋"/>
                <w:b w:val="0"/>
                <w:bCs/>
                <w:sz w:val="24"/>
                <w:szCs w:val="24"/>
                <w:highlight w:val="none"/>
                <w:lang w:val="en-US" w:eastAsia="zh-CN"/>
              </w:rPr>
              <w:t>产出</w:t>
            </w:r>
          </w:p>
        </w:tc>
        <w:tc>
          <w:tcPr>
            <w:tcW w:w="2145" w:type="dxa"/>
            <w:shd w:val="clear" w:color="auto" w:fill="auto"/>
            <w:noWrap w:val="0"/>
            <w:vAlign w:val="center"/>
          </w:tcPr>
          <w:p w14:paraId="4E9B222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40.00</w:t>
            </w:r>
          </w:p>
        </w:tc>
        <w:tc>
          <w:tcPr>
            <w:tcW w:w="1938" w:type="dxa"/>
            <w:shd w:val="clear" w:color="auto" w:fill="auto"/>
            <w:noWrap w:val="0"/>
            <w:vAlign w:val="center"/>
          </w:tcPr>
          <w:p w14:paraId="5A4265CF">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35.20</w:t>
            </w:r>
          </w:p>
        </w:tc>
        <w:tc>
          <w:tcPr>
            <w:tcW w:w="2207" w:type="dxa"/>
            <w:shd w:val="clear" w:color="auto" w:fill="auto"/>
            <w:noWrap w:val="0"/>
            <w:vAlign w:val="center"/>
          </w:tcPr>
          <w:p w14:paraId="30DA070E">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88%</w:t>
            </w:r>
          </w:p>
        </w:tc>
      </w:tr>
      <w:tr w14:paraId="0A11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4C2A04F5">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项目效益</w:t>
            </w:r>
          </w:p>
        </w:tc>
        <w:tc>
          <w:tcPr>
            <w:tcW w:w="2145" w:type="dxa"/>
            <w:shd w:val="clear" w:color="auto" w:fill="auto"/>
            <w:noWrap w:val="0"/>
            <w:vAlign w:val="center"/>
          </w:tcPr>
          <w:p w14:paraId="197553F3">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30.00</w:t>
            </w:r>
          </w:p>
        </w:tc>
        <w:tc>
          <w:tcPr>
            <w:tcW w:w="1938" w:type="dxa"/>
            <w:shd w:val="clear" w:color="auto" w:fill="auto"/>
            <w:noWrap w:val="0"/>
            <w:vAlign w:val="center"/>
          </w:tcPr>
          <w:p w14:paraId="01B69C3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25.80</w:t>
            </w:r>
          </w:p>
        </w:tc>
        <w:tc>
          <w:tcPr>
            <w:tcW w:w="2207" w:type="dxa"/>
            <w:shd w:val="clear" w:color="auto" w:fill="auto"/>
            <w:noWrap w:val="0"/>
            <w:vAlign w:val="center"/>
          </w:tcPr>
          <w:p w14:paraId="06859A4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86%</w:t>
            </w:r>
          </w:p>
        </w:tc>
      </w:tr>
      <w:tr w14:paraId="6B8C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2168" w:type="dxa"/>
            <w:shd w:val="clear" w:color="auto" w:fill="auto"/>
            <w:noWrap w:val="0"/>
            <w:vAlign w:val="center"/>
          </w:tcPr>
          <w:p w14:paraId="34A0BB7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综合得分</w:t>
            </w:r>
          </w:p>
        </w:tc>
        <w:tc>
          <w:tcPr>
            <w:tcW w:w="2145" w:type="dxa"/>
            <w:shd w:val="clear" w:color="auto" w:fill="auto"/>
            <w:noWrap w:val="0"/>
            <w:vAlign w:val="center"/>
          </w:tcPr>
          <w:p w14:paraId="20596D58">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100.00</w:t>
            </w:r>
          </w:p>
        </w:tc>
        <w:tc>
          <w:tcPr>
            <w:tcW w:w="1938" w:type="dxa"/>
            <w:shd w:val="clear" w:color="auto" w:fill="auto"/>
            <w:noWrap w:val="0"/>
            <w:vAlign w:val="center"/>
          </w:tcPr>
          <w:p w14:paraId="50D644F1">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88.50</w:t>
            </w:r>
          </w:p>
        </w:tc>
        <w:tc>
          <w:tcPr>
            <w:tcW w:w="2207" w:type="dxa"/>
            <w:shd w:val="clear" w:color="auto" w:fill="auto"/>
            <w:noWrap w:val="0"/>
            <w:vAlign w:val="center"/>
          </w:tcPr>
          <w:p w14:paraId="7FD8997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88.5%</w:t>
            </w:r>
          </w:p>
        </w:tc>
      </w:tr>
      <w:tr w14:paraId="74DF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9" w:hRule="atLeast"/>
          <w:jc w:val="center"/>
        </w:trPr>
        <w:tc>
          <w:tcPr>
            <w:tcW w:w="2168" w:type="dxa"/>
            <w:shd w:val="clear" w:color="auto" w:fill="auto"/>
            <w:noWrap w:val="0"/>
            <w:vAlign w:val="center"/>
          </w:tcPr>
          <w:p w14:paraId="65C10922">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绩效评定级别</w:t>
            </w:r>
          </w:p>
        </w:tc>
        <w:tc>
          <w:tcPr>
            <w:tcW w:w="6290" w:type="dxa"/>
            <w:gridSpan w:val="3"/>
            <w:shd w:val="clear" w:color="auto" w:fill="auto"/>
            <w:noWrap w:val="0"/>
            <w:vAlign w:val="center"/>
          </w:tcPr>
          <w:p w14:paraId="63C2DE5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 良</w:t>
            </w:r>
          </w:p>
        </w:tc>
      </w:tr>
      <w:bookmarkEnd w:id="27"/>
      <w:bookmarkEnd w:id="28"/>
    </w:tbl>
    <w:p w14:paraId="18CC4349">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default" w:ascii="黑体" w:hAnsi="黑体" w:eastAsia="黑体" w:cs="Times New Roman"/>
          <w:b w:val="0"/>
          <w:bCs w:val="0"/>
          <w:sz w:val="32"/>
          <w:szCs w:val="32"/>
          <w:lang w:val="en-US" w:eastAsia="zh-CN"/>
        </w:rPr>
      </w:pPr>
      <w:bookmarkStart w:id="29" w:name="_Toc14343"/>
      <w:bookmarkStart w:id="30" w:name="_Toc32706"/>
      <w:bookmarkStart w:id="31" w:name="_Toc241538802"/>
      <w:bookmarkStart w:id="32" w:name="_Toc1811"/>
      <w:bookmarkStart w:id="33" w:name="_Toc19209"/>
      <w:bookmarkStart w:id="34" w:name="_Toc1136"/>
      <w:r>
        <w:rPr>
          <w:rFonts w:hint="eastAsia" w:ascii="黑体" w:hAnsi="黑体" w:eastAsia="黑体" w:cs="Times New Roman"/>
          <w:b w:val="0"/>
          <w:bCs w:val="0"/>
          <w:sz w:val="32"/>
          <w:szCs w:val="32"/>
          <w:lang w:val="en-US" w:eastAsia="zh-CN"/>
        </w:rPr>
        <w:t>四、绩效评价指标分析</w:t>
      </w:r>
      <w:bookmarkEnd w:id="29"/>
      <w:bookmarkEnd w:id="30"/>
      <w:bookmarkEnd w:id="31"/>
      <w:bookmarkEnd w:id="32"/>
      <w:bookmarkEnd w:id="33"/>
      <w:bookmarkEnd w:id="34"/>
    </w:p>
    <w:p w14:paraId="54C7E60D">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outlineLvl w:val="1"/>
        <w:rPr>
          <w:rFonts w:hint="eastAsia" w:ascii="楷体_GB2312" w:hAnsi="楷体_GB2312" w:eastAsia="楷体_GB2312" w:cs="楷体_GB2312"/>
          <w:b/>
          <w:bCs/>
          <w:kern w:val="44"/>
          <w:sz w:val="32"/>
          <w:szCs w:val="32"/>
          <w:lang w:val="en-US" w:eastAsia="zh-CN"/>
        </w:rPr>
      </w:pPr>
      <w:bookmarkStart w:id="35" w:name="_Toc6674"/>
      <w:bookmarkStart w:id="36" w:name="_Toc26781"/>
      <w:bookmarkStart w:id="37" w:name="_Toc24238"/>
      <w:bookmarkStart w:id="38" w:name="_Toc716873636"/>
      <w:bookmarkStart w:id="39" w:name="_Toc23418"/>
      <w:bookmarkStart w:id="40" w:name="_Toc12326"/>
      <w:r>
        <w:rPr>
          <w:rFonts w:hint="eastAsia" w:ascii="楷体_GB2312" w:hAnsi="楷体_GB2312" w:eastAsia="楷体_GB2312" w:cs="楷体_GB2312"/>
          <w:b/>
          <w:bCs/>
          <w:kern w:val="44"/>
          <w:sz w:val="32"/>
          <w:szCs w:val="32"/>
          <w:lang w:val="en-US" w:eastAsia="zh-CN"/>
        </w:rPr>
        <w:t>（一）项目决策情况</w:t>
      </w:r>
      <w:bookmarkEnd w:id="35"/>
      <w:bookmarkEnd w:id="36"/>
      <w:bookmarkEnd w:id="37"/>
      <w:bookmarkEnd w:id="38"/>
      <w:bookmarkEnd w:id="39"/>
      <w:bookmarkEnd w:id="40"/>
    </w:p>
    <w:p w14:paraId="39FDBD7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cs="仿宋_GB2312"/>
          <w:bCs/>
          <w:color w:val="auto"/>
          <w:kern w:val="44"/>
          <w:sz w:val="32"/>
          <w:szCs w:val="32"/>
          <w:highlight w:val="none"/>
          <w:lang w:val="en-US" w:eastAsia="zh-CN"/>
        </w:rPr>
      </w:pPr>
      <w:r>
        <w:rPr>
          <w:rFonts w:hint="eastAsia" w:ascii="仿宋_GB2312" w:hAnsi="仿宋_GB2312" w:eastAsia="仿宋_GB2312" w:cs="仿宋_GB2312"/>
          <w:bCs/>
          <w:color w:val="auto"/>
          <w:kern w:val="44"/>
          <w:sz w:val="32"/>
          <w:szCs w:val="32"/>
        </w:rPr>
        <w:t>项目决策指标，满分</w:t>
      </w:r>
      <w:r>
        <w:rPr>
          <w:rFonts w:hint="eastAsia" w:ascii="仿宋_GB2312" w:hAnsi="仿宋_GB2312" w:eastAsia="仿宋_GB2312" w:cs="仿宋_GB2312"/>
          <w:bCs/>
          <w:color w:val="auto"/>
          <w:kern w:val="44"/>
          <w:sz w:val="32"/>
          <w:szCs w:val="32"/>
          <w:lang w:val="en-US" w:eastAsia="zh-CN"/>
        </w:rPr>
        <w:t>10.00</w:t>
      </w:r>
      <w:r>
        <w:rPr>
          <w:rFonts w:hint="eastAsia" w:ascii="仿宋_GB2312" w:hAnsi="仿宋_GB2312" w:eastAsia="仿宋_GB2312" w:cs="仿宋_GB2312"/>
          <w:bCs/>
          <w:color w:val="auto"/>
          <w:kern w:val="44"/>
          <w:sz w:val="32"/>
          <w:szCs w:val="32"/>
        </w:rPr>
        <w:t>分，评定</w:t>
      </w:r>
      <w:r>
        <w:rPr>
          <w:rFonts w:hint="eastAsia" w:ascii="仿宋_GB2312" w:hAnsi="仿宋_GB2312" w:eastAsia="仿宋_GB2312" w:cs="仿宋_GB2312"/>
          <w:bCs/>
          <w:color w:val="auto"/>
          <w:kern w:val="44"/>
          <w:sz w:val="32"/>
          <w:szCs w:val="32"/>
          <w:highlight w:val="none"/>
        </w:rPr>
        <w:t>得分为</w:t>
      </w:r>
      <w:r>
        <w:rPr>
          <w:rFonts w:hint="eastAsia" w:ascii="仿宋_GB2312" w:hAnsi="仿宋_GB2312" w:eastAsia="仿宋_GB2312" w:cs="仿宋_GB2312"/>
          <w:color w:val="auto"/>
          <w:sz w:val="32"/>
          <w:szCs w:val="32"/>
          <w:highlight w:val="none"/>
          <w:lang w:val="en-US" w:eastAsia="zh-CN"/>
        </w:rPr>
        <w:t>9.20</w:t>
      </w:r>
      <w:r>
        <w:rPr>
          <w:rFonts w:hint="eastAsia" w:ascii="仿宋_GB2312" w:hAnsi="仿宋_GB2312" w:eastAsia="仿宋_GB2312" w:cs="仿宋_GB2312"/>
          <w:bCs/>
          <w:color w:val="auto"/>
          <w:kern w:val="44"/>
          <w:sz w:val="32"/>
          <w:szCs w:val="32"/>
          <w:highlight w:val="none"/>
        </w:rPr>
        <w:t>分。</w:t>
      </w:r>
      <w:r>
        <w:rPr>
          <w:rFonts w:hint="eastAsia" w:ascii="仿宋_GB2312" w:hAnsi="仿宋_GB2312" w:cs="仿宋_GB2312"/>
          <w:bCs/>
          <w:color w:val="auto"/>
          <w:kern w:val="44"/>
          <w:sz w:val="32"/>
          <w:szCs w:val="32"/>
          <w:highlight w:val="none"/>
          <w:lang w:val="en-US" w:eastAsia="zh-CN"/>
        </w:rPr>
        <w:t>项目决策指标各指标得分情况及扣分原因见表4。</w:t>
      </w:r>
    </w:p>
    <w:p w14:paraId="37978D9D">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default" w:ascii="仿宋_GB2312" w:hAnsi="仿宋_GB2312" w:cs="仿宋_GB2312"/>
          <w:bCs/>
          <w:color w:val="auto"/>
          <w:kern w:val="44"/>
          <w:sz w:val="32"/>
          <w:szCs w:val="32"/>
          <w:highlight w:val="none"/>
          <w:lang w:val="en-US" w:eastAsia="zh-CN"/>
        </w:rPr>
      </w:pPr>
      <w:r>
        <w:rPr>
          <w:rFonts w:hint="eastAsia" w:ascii="仿宋_GB2312" w:hAnsi="仿宋_GB2312" w:cs="仿宋_GB2312"/>
          <w:bCs/>
          <w:color w:val="auto"/>
          <w:kern w:val="44"/>
          <w:sz w:val="32"/>
          <w:szCs w:val="32"/>
          <w:highlight w:val="none"/>
          <w:lang w:val="en-US" w:eastAsia="zh-CN"/>
        </w:rPr>
        <w:t>表4.项目决策各指标得分情况表</w:t>
      </w:r>
    </w:p>
    <w:tbl>
      <w:tblPr>
        <w:tblStyle w:val="15"/>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707"/>
        <w:gridCol w:w="1861"/>
        <w:gridCol w:w="1440"/>
        <w:gridCol w:w="1520"/>
        <w:gridCol w:w="2460"/>
      </w:tblGrid>
      <w:tr w14:paraId="17E2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79A8FCD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二级</w:t>
            </w:r>
          </w:p>
        </w:tc>
        <w:tc>
          <w:tcPr>
            <w:tcW w:w="1861" w:type="dxa"/>
            <w:shd w:val="clear" w:color="auto" w:fill="auto"/>
            <w:noWrap w:val="0"/>
            <w:vAlign w:val="center"/>
          </w:tcPr>
          <w:p w14:paraId="25F53BBB">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三级指标</w:t>
            </w:r>
          </w:p>
        </w:tc>
        <w:tc>
          <w:tcPr>
            <w:tcW w:w="1440" w:type="dxa"/>
            <w:shd w:val="clear" w:color="auto" w:fill="auto"/>
            <w:noWrap w:val="0"/>
            <w:vAlign w:val="center"/>
          </w:tcPr>
          <w:p w14:paraId="558D2DC0">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分值</w:t>
            </w:r>
          </w:p>
        </w:tc>
        <w:tc>
          <w:tcPr>
            <w:tcW w:w="1520" w:type="dxa"/>
            <w:shd w:val="clear" w:color="auto" w:fill="auto"/>
            <w:noWrap w:val="0"/>
            <w:vAlign w:val="center"/>
          </w:tcPr>
          <w:p w14:paraId="41823073">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评价得分</w:t>
            </w:r>
          </w:p>
        </w:tc>
        <w:tc>
          <w:tcPr>
            <w:tcW w:w="2460" w:type="dxa"/>
            <w:shd w:val="clear" w:color="auto" w:fill="auto"/>
            <w:noWrap w:val="0"/>
            <w:vAlign w:val="center"/>
          </w:tcPr>
          <w:p w14:paraId="59EA5F8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扣分原因</w:t>
            </w:r>
          </w:p>
        </w:tc>
      </w:tr>
      <w:tr w14:paraId="53441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0B64851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项目立项</w:t>
            </w:r>
          </w:p>
        </w:tc>
        <w:tc>
          <w:tcPr>
            <w:tcW w:w="1861" w:type="dxa"/>
            <w:shd w:val="clear" w:color="auto" w:fill="auto"/>
            <w:noWrap w:val="0"/>
            <w:vAlign w:val="center"/>
          </w:tcPr>
          <w:p w14:paraId="36BA94C1">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立项依据充分性</w:t>
            </w:r>
          </w:p>
        </w:tc>
        <w:tc>
          <w:tcPr>
            <w:tcW w:w="1440" w:type="dxa"/>
            <w:shd w:val="clear" w:color="auto" w:fill="auto"/>
            <w:noWrap w:val="0"/>
            <w:vAlign w:val="center"/>
          </w:tcPr>
          <w:p w14:paraId="0990815A">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520" w:type="dxa"/>
            <w:shd w:val="clear" w:color="auto" w:fill="auto"/>
            <w:noWrap w:val="0"/>
            <w:vAlign w:val="center"/>
          </w:tcPr>
          <w:p w14:paraId="1FE53D42">
            <w:pPr>
              <w:keepNext w:val="0"/>
              <w:keepLines w:val="0"/>
              <w:widowControl/>
              <w:suppressLineNumbers w:val="0"/>
              <w:spacing w:line="240" w:lineRule="auto"/>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2460" w:type="dxa"/>
            <w:shd w:val="clear" w:color="auto" w:fill="auto"/>
            <w:noWrap w:val="0"/>
            <w:vAlign w:val="center"/>
          </w:tcPr>
          <w:p w14:paraId="3B103228">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3C2AF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2362217E">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eastAsia="zh-CN"/>
              </w:rPr>
            </w:pPr>
          </w:p>
        </w:tc>
        <w:tc>
          <w:tcPr>
            <w:tcW w:w="1861" w:type="dxa"/>
            <w:shd w:val="clear" w:color="auto" w:fill="auto"/>
            <w:noWrap w:val="0"/>
            <w:vAlign w:val="center"/>
          </w:tcPr>
          <w:p w14:paraId="6C464FC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立项程序规范性</w:t>
            </w:r>
          </w:p>
        </w:tc>
        <w:tc>
          <w:tcPr>
            <w:tcW w:w="1440" w:type="dxa"/>
            <w:shd w:val="clear" w:color="auto" w:fill="auto"/>
            <w:noWrap w:val="0"/>
            <w:vAlign w:val="center"/>
          </w:tcPr>
          <w:p w14:paraId="2786D0C5">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520" w:type="dxa"/>
            <w:shd w:val="clear" w:color="auto" w:fill="auto"/>
            <w:noWrap w:val="0"/>
            <w:vAlign w:val="center"/>
          </w:tcPr>
          <w:p w14:paraId="1805DA9A">
            <w:pPr>
              <w:keepNext w:val="0"/>
              <w:keepLines w:val="0"/>
              <w:widowControl/>
              <w:suppressLineNumbers w:val="0"/>
              <w:spacing w:line="240" w:lineRule="auto"/>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2460" w:type="dxa"/>
            <w:shd w:val="clear" w:color="auto" w:fill="auto"/>
            <w:noWrap w:val="0"/>
            <w:vAlign w:val="center"/>
          </w:tcPr>
          <w:p w14:paraId="2F97CC67">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6E1C0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0E55736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绩效目标</w:t>
            </w:r>
          </w:p>
        </w:tc>
        <w:tc>
          <w:tcPr>
            <w:tcW w:w="1861" w:type="dxa"/>
            <w:shd w:val="clear" w:color="auto" w:fill="auto"/>
            <w:noWrap w:val="0"/>
            <w:vAlign w:val="center"/>
          </w:tcPr>
          <w:p w14:paraId="3E87FF05">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绩效目标合理性</w:t>
            </w:r>
          </w:p>
        </w:tc>
        <w:tc>
          <w:tcPr>
            <w:tcW w:w="1440" w:type="dxa"/>
            <w:shd w:val="clear" w:color="auto" w:fill="auto"/>
            <w:noWrap w:val="0"/>
            <w:vAlign w:val="center"/>
          </w:tcPr>
          <w:p w14:paraId="3D33D9A8">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520" w:type="dxa"/>
            <w:shd w:val="clear" w:color="auto" w:fill="auto"/>
            <w:noWrap w:val="0"/>
            <w:vAlign w:val="center"/>
          </w:tcPr>
          <w:p w14:paraId="42B5C43F">
            <w:pPr>
              <w:keepNext w:val="0"/>
              <w:keepLines w:val="0"/>
              <w:widowControl/>
              <w:suppressLineNumbers w:val="0"/>
              <w:spacing w:line="240" w:lineRule="auto"/>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1.8</w:t>
            </w:r>
          </w:p>
        </w:tc>
        <w:tc>
          <w:tcPr>
            <w:tcW w:w="2460" w:type="dxa"/>
            <w:shd w:val="clear" w:color="auto" w:fill="auto"/>
            <w:noWrap w:val="0"/>
            <w:vAlign w:val="center"/>
          </w:tcPr>
          <w:p w14:paraId="749D7988">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未明确为投资促进活动提供支持的质量标准，且与宣传相关产出绩效指标的相关性体现不够充分。</w:t>
            </w:r>
          </w:p>
        </w:tc>
      </w:tr>
      <w:tr w14:paraId="42CB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08154C6B">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val="en-US" w:eastAsia="zh-CN"/>
              </w:rPr>
            </w:pPr>
          </w:p>
        </w:tc>
        <w:tc>
          <w:tcPr>
            <w:tcW w:w="1861" w:type="dxa"/>
            <w:shd w:val="clear" w:color="auto" w:fill="auto"/>
            <w:noWrap w:val="0"/>
            <w:vAlign w:val="center"/>
          </w:tcPr>
          <w:p w14:paraId="2E554CC4">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绩效目标明确性</w:t>
            </w:r>
          </w:p>
        </w:tc>
        <w:tc>
          <w:tcPr>
            <w:tcW w:w="1440" w:type="dxa"/>
            <w:shd w:val="clear" w:color="auto" w:fill="auto"/>
            <w:noWrap w:val="0"/>
            <w:vAlign w:val="center"/>
          </w:tcPr>
          <w:p w14:paraId="3F677948">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w:t>
            </w:r>
          </w:p>
        </w:tc>
        <w:tc>
          <w:tcPr>
            <w:tcW w:w="1520" w:type="dxa"/>
            <w:shd w:val="clear" w:color="auto" w:fill="auto"/>
            <w:noWrap w:val="0"/>
            <w:vAlign w:val="center"/>
          </w:tcPr>
          <w:p w14:paraId="2FBEFCF0">
            <w:pPr>
              <w:keepNext w:val="0"/>
              <w:keepLines w:val="0"/>
              <w:widowControl/>
              <w:suppressLineNumbers w:val="0"/>
              <w:spacing w:line="240" w:lineRule="auto"/>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0.6</w:t>
            </w:r>
          </w:p>
        </w:tc>
        <w:tc>
          <w:tcPr>
            <w:tcW w:w="2460" w:type="dxa"/>
            <w:shd w:val="clear" w:color="auto" w:fill="auto"/>
            <w:noWrap w:val="0"/>
            <w:vAlign w:val="center"/>
          </w:tcPr>
          <w:p w14:paraId="0485D924">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绩效指标明确性不足，指标设定较为笼统，不够细化、量化，可衡量性不足。</w:t>
            </w:r>
          </w:p>
        </w:tc>
      </w:tr>
      <w:tr w14:paraId="7480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397BCB4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资金投入</w:t>
            </w:r>
          </w:p>
        </w:tc>
        <w:tc>
          <w:tcPr>
            <w:tcW w:w="1861" w:type="dxa"/>
            <w:shd w:val="clear" w:color="auto" w:fill="auto"/>
            <w:noWrap w:val="0"/>
            <w:vAlign w:val="center"/>
          </w:tcPr>
          <w:p w14:paraId="18E8311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预算编制科学性</w:t>
            </w:r>
          </w:p>
        </w:tc>
        <w:tc>
          <w:tcPr>
            <w:tcW w:w="1440" w:type="dxa"/>
            <w:shd w:val="clear" w:color="auto" w:fill="auto"/>
            <w:noWrap w:val="0"/>
            <w:vAlign w:val="center"/>
          </w:tcPr>
          <w:p w14:paraId="1991CB9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520" w:type="dxa"/>
            <w:shd w:val="clear" w:color="auto" w:fill="auto"/>
            <w:noWrap w:val="0"/>
            <w:vAlign w:val="center"/>
          </w:tcPr>
          <w:p w14:paraId="019C3868">
            <w:pPr>
              <w:keepNext w:val="0"/>
              <w:keepLines w:val="0"/>
              <w:widowControl/>
              <w:suppressLineNumbers w:val="0"/>
              <w:spacing w:line="240" w:lineRule="auto"/>
              <w:jc w:val="center"/>
              <w:textAlignment w:val="center"/>
              <w:rPr>
                <w:rFonts w:hint="eastAsia"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1.8</w:t>
            </w:r>
          </w:p>
        </w:tc>
        <w:tc>
          <w:tcPr>
            <w:tcW w:w="2460" w:type="dxa"/>
            <w:shd w:val="clear" w:color="auto" w:fill="auto"/>
            <w:noWrap w:val="0"/>
            <w:vAlign w:val="center"/>
          </w:tcPr>
          <w:p w14:paraId="7BCB3CFF">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通过预算额度进行政府采购程序，但未体现预算测算依据的充分性</w:t>
            </w:r>
          </w:p>
        </w:tc>
      </w:tr>
      <w:tr w14:paraId="2475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7D678DB5">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rPr>
            </w:pPr>
          </w:p>
        </w:tc>
        <w:tc>
          <w:tcPr>
            <w:tcW w:w="1861" w:type="dxa"/>
            <w:shd w:val="clear" w:color="auto" w:fill="auto"/>
            <w:noWrap w:val="0"/>
            <w:vAlign w:val="center"/>
          </w:tcPr>
          <w:p w14:paraId="2F8EEA46">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资金分配合理性</w:t>
            </w:r>
          </w:p>
        </w:tc>
        <w:tc>
          <w:tcPr>
            <w:tcW w:w="1440" w:type="dxa"/>
            <w:shd w:val="clear" w:color="auto" w:fill="auto"/>
            <w:noWrap w:val="0"/>
            <w:vAlign w:val="center"/>
          </w:tcPr>
          <w:p w14:paraId="5D3F2A4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w:t>
            </w:r>
          </w:p>
        </w:tc>
        <w:tc>
          <w:tcPr>
            <w:tcW w:w="1520" w:type="dxa"/>
            <w:shd w:val="clear" w:color="auto" w:fill="auto"/>
            <w:noWrap w:val="0"/>
            <w:vAlign w:val="center"/>
          </w:tcPr>
          <w:p w14:paraId="5869D6C8">
            <w:pPr>
              <w:keepNext w:val="0"/>
              <w:keepLines w:val="0"/>
              <w:widowControl/>
              <w:suppressLineNumbers w:val="0"/>
              <w:spacing w:line="240" w:lineRule="auto"/>
              <w:jc w:val="center"/>
              <w:textAlignment w:val="center"/>
              <w:rPr>
                <w:rFonts w:hint="eastAsia"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2460" w:type="dxa"/>
            <w:shd w:val="clear" w:color="auto" w:fill="auto"/>
            <w:noWrap w:val="0"/>
            <w:vAlign w:val="center"/>
          </w:tcPr>
          <w:p w14:paraId="04FD4F1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7B43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9" w:hRule="atLeast"/>
          <w:jc w:val="center"/>
        </w:trPr>
        <w:tc>
          <w:tcPr>
            <w:tcW w:w="3568" w:type="dxa"/>
            <w:gridSpan w:val="2"/>
            <w:shd w:val="clear" w:color="auto" w:fill="auto"/>
            <w:noWrap w:val="0"/>
            <w:vAlign w:val="center"/>
          </w:tcPr>
          <w:p w14:paraId="05F40EC6">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项目决策</w:t>
            </w:r>
          </w:p>
        </w:tc>
        <w:tc>
          <w:tcPr>
            <w:tcW w:w="1440" w:type="dxa"/>
            <w:shd w:val="clear" w:color="auto" w:fill="auto"/>
            <w:noWrap w:val="0"/>
            <w:vAlign w:val="center"/>
          </w:tcPr>
          <w:p w14:paraId="7D16A8AA">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w:t>
            </w:r>
          </w:p>
        </w:tc>
        <w:tc>
          <w:tcPr>
            <w:tcW w:w="1520" w:type="dxa"/>
            <w:shd w:val="clear" w:color="auto" w:fill="auto"/>
            <w:noWrap w:val="0"/>
            <w:vAlign w:val="center"/>
          </w:tcPr>
          <w:p w14:paraId="71FDB79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9.20</w:t>
            </w:r>
          </w:p>
        </w:tc>
        <w:tc>
          <w:tcPr>
            <w:tcW w:w="2460" w:type="dxa"/>
            <w:shd w:val="clear" w:color="auto" w:fill="auto"/>
            <w:noWrap w:val="0"/>
            <w:vAlign w:val="center"/>
          </w:tcPr>
          <w:p w14:paraId="72DC4EE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bl>
    <w:p w14:paraId="1042377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1.项目立项</w:t>
      </w:r>
    </w:p>
    <w:p w14:paraId="7DD93A32">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color w:val="000000"/>
          <w:kern w:val="0"/>
          <w:sz w:val="32"/>
          <w:szCs w:val="32"/>
          <w:lang w:val="en-US" w:eastAsia="zh-CN" w:bidi="ar"/>
        </w:rPr>
        <w:t>（1）立项依据充分性</w:t>
      </w:r>
      <w:r>
        <w:rPr>
          <w:rFonts w:hint="eastAsia" w:ascii="仿宋_GB2312" w:hAnsi="仿宋_GB2312" w:cs="仿宋_GB2312"/>
          <w:color w:val="000000"/>
          <w:kern w:val="0"/>
          <w:sz w:val="32"/>
          <w:szCs w:val="32"/>
          <w:lang w:val="en-US" w:eastAsia="zh-CN" w:bidi="ar"/>
        </w:rPr>
        <w:t>评价分析</w:t>
      </w:r>
    </w:p>
    <w:p w14:paraId="3DC00070">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lang w:val="en-US" w:eastAsia="zh-CN"/>
        </w:rPr>
        <w:t>该项目主要目标是通过拍摄制作北京市对外招商推介宣传片，进一步方便国内外投资人和企业更加直观的了解北京市投资环境，大力营销北京经济形象、宣传首都投资环境，突出北京特色；宣传北京良好的营商环境和经济形象，进一步促进高质量项目落地。根据2023年预算项目申报明细，</w:t>
      </w:r>
      <w:r>
        <w:rPr>
          <w:rFonts w:hint="eastAsia" w:ascii="仿宋_GB2312" w:hAnsi="仿宋_GB2312" w:cs="仿宋_GB2312"/>
          <w:sz w:val="32"/>
          <w:szCs w:val="32"/>
          <w:lang w:val="en-US" w:eastAsia="zh-CN"/>
        </w:rPr>
        <w:t>市投资促进中心</w:t>
      </w:r>
      <w:r>
        <w:rPr>
          <w:rFonts w:hint="eastAsia" w:ascii="仿宋_GB2312" w:hAnsi="仿宋_GB2312" w:eastAsia="仿宋_GB2312" w:cs="仿宋_GB2312"/>
          <w:sz w:val="32"/>
          <w:szCs w:val="32"/>
          <w:lang w:val="en-US" w:eastAsia="zh-CN"/>
        </w:rPr>
        <w:t>编制了该项目年度工作计划，设置项目绩效目标。</w:t>
      </w:r>
      <w:r>
        <w:rPr>
          <w:rFonts w:hint="eastAsia" w:ascii="仿宋_GB2312" w:hAnsi="仿宋_GB2312" w:eastAsia="仿宋_GB2312" w:cs="仿宋_GB2312"/>
          <w:b/>
          <w:bCs/>
          <w:sz w:val="32"/>
          <w:szCs w:val="32"/>
        </w:rPr>
        <w:t>评价认为，</w:t>
      </w:r>
      <w:r>
        <w:rPr>
          <w:rFonts w:hint="eastAsia" w:ascii="仿宋_GB2312" w:hAnsi="仿宋_GB2312" w:eastAsia="仿宋_GB2312" w:cs="仿宋_GB2312"/>
          <w:sz w:val="32"/>
          <w:szCs w:val="32"/>
          <w:lang w:eastAsia="zh-Hans"/>
        </w:rPr>
        <w:t>该项目</w:t>
      </w:r>
      <w:r>
        <w:rPr>
          <w:rFonts w:hint="eastAsia" w:ascii="仿宋_GB2312" w:hAnsi="仿宋_GB2312" w:eastAsia="仿宋_GB2312" w:cs="仿宋_GB2312"/>
          <w:sz w:val="32"/>
          <w:szCs w:val="32"/>
        </w:rPr>
        <w:t>具有一定的现实需求</w:t>
      </w:r>
      <w:r>
        <w:rPr>
          <w:rFonts w:hint="eastAsia" w:ascii="仿宋_GB2312" w:hAnsi="仿宋_GB2312" w:eastAsia="仿宋_GB2312" w:cs="仿宋_GB2312"/>
          <w:sz w:val="32"/>
          <w:szCs w:val="32"/>
          <w:lang w:eastAsia="zh-Hans"/>
        </w:rPr>
        <w:t>和</w:t>
      </w:r>
      <w:r>
        <w:rPr>
          <w:rFonts w:hint="eastAsia" w:ascii="仿宋_GB2312" w:hAnsi="仿宋_GB2312" w:eastAsia="仿宋_GB2312" w:cs="仿宋_GB2312"/>
          <w:sz w:val="32"/>
          <w:szCs w:val="32"/>
        </w:rPr>
        <w:t>明确的政策依据，符合</w:t>
      </w:r>
      <w:r>
        <w:rPr>
          <w:rFonts w:hint="eastAsia" w:ascii="仿宋_GB2312" w:hAnsi="仿宋_GB2312" w:cs="仿宋_GB2312"/>
          <w:sz w:val="32"/>
          <w:szCs w:val="32"/>
          <w:lang w:val="en-US" w:eastAsia="zh-CN"/>
        </w:rPr>
        <w:t>市投资促进中心</w:t>
      </w:r>
      <w:r>
        <w:rPr>
          <w:rFonts w:hint="eastAsia" w:ascii="仿宋_GB2312" w:hAnsi="仿宋_GB2312" w:eastAsia="仿宋_GB2312" w:cs="仿宋_GB2312"/>
          <w:sz w:val="32"/>
          <w:szCs w:val="32"/>
        </w:rPr>
        <w:t>职能，项目立项依据较为充分。</w:t>
      </w:r>
    </w:p>
    <w:p w14:paraId="563C6283">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default" w:ascii="仿宋_GB2312" w:hAnsi="宋体" w:eastAsia="仿宋_GB2312" w:cs="仿宋_GB2312"/>
          <w:color w:val="000000"/>
          <w:kern w:val="0"/>
          <w:sz w:val="32"/>
          <w:szCs w:val="32"/>
          <w:lang w:val="en-US" w:eastAsia="zh-CN" w:bidi="ar"/>
        </w:rPr>
      </w:pPr>
      <w:r>
        <w:rPr>
          <w:rFonts w:ascii="仿宋_GB2312" w:hAnsi="宋体" w:eastAsia="仿宋_GB2312" w:cs="仿宋_GB2312"/>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2</w:t>
      </w:r>
      <w:r>
        <w:rPr>
          <w:rFonts w:hint="eastAsia" w:ascii="仿宋_GB2312" w:hAnsi="宋体" w:eastAsia="仿宋_GB2312" w:cs="仿宋_GB2312"/>
          <w:color w:val="000000"/>
          <w:kern w:val="0"/>
          <w:sz w:val="32"/>
          <w:szCs w:val="32"/>
          <w:lang w:val="en-US" w:eastAsia="zh-CN" w:bidi="ar"/>
        </w:rPr>
        <w:t>）立项程序规范性</w:t>
      </w:r>
      <w:r>
        <w:rPr>
          <w:rFonts w:hint="eastAsia" w:ascii="仿宋_GB2312" w:hAnsi="宋体" w:cs="仿宋_GB2312"/>
          <w:color w:val="000000"/>
          <w:kern w:val="0"/>
          <w:sz w:val="32"/>
          <w:szCs w:val="32"/>
          <w:lang w:val="en-US" w:eastAsia="zh-CN" w:bidi="ar"/>
        </w:rPr>
        <w:t>评价分析</w:t>
      </w:r>
    </w:p>
    <w:p w14:paraId="53FC9F45">
      <w:pPr>
        <w:spacing w:line="560" w:lineRule="exact"/>
        <w:ind w:firstLine="640"/>
        <w:rPr>
          <w:sz w:val="32"/>
          <w:szCs w:val="32"/>
        </w:rPr>
      </w:pPr>
      <w:r>
        <w:rPr>
          <w:rFonts w:hint="default" w:ascii="仿宋_GB2312" w:hAnsi="仿宋_GB2312" w:eastAsia="仿宋_GB2312" w:cs="仿宋_GB2312"/>
          <w:sz w:val="32"/>
          <w:szCs w:val="32"/>
          <w:lang w:val="en-US" w:eastAsia="zh-CN"/>
        </w:rPr>
        <w:t>该项目由</w:t>
      </w:r>
      <w:r>
        <w:rPr>
          <w:rFonts w:hint="eastAsia" w:ascii="仿宋_GB2312" w:hAnsi="仿宋_GB2312" w:cs="仿宋_GB2312"/>
          <w:sz w:val="32"/>
          <w:szCs w:val="32"/>
          <w:lang w:val="en-US" w:eastAsia="zh-CN"/>
        </w:rPr>
        <w:t>宣传推广处</w:t>
      </w:r>
      <w:r>
        <w:rPr>
          <w:rFonts w:hint="default"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val="en-US" w:eastAsia="zh-CN"/>
        </w:rPr>
        <w:t>中心对外招商推介宣传</w:t>
      </w:r>
      <w:r>
        <w:rPr>
          <w:rFonts w:hint="default" w:ascii="仿宋_GB2312" w:hAnsi="仿宋_GB2312" w:eastAsia="仿宋_GB2312" w:cs="仿宋_GB2312"/>
          <w:sz w:val="32"/>
          <w:szCs w:val="32"/>
          <w:lang w:val="en-US" w:eastAsia="zh-CN"/>
        </w:rPr>
        <w:t>需要，申请设立</w:t>
      </w:r>
      <w:r>
        <w:rPr>
          <w:rFonts w:hint="eastAsia" w:ascii="仿宋_GB2312" w:hAnsi="仿宋_GB2312" w:eastAsia="仿宋_GB2312" w:cs="仿宋_GB2312"/>
          <w:sz w:val="32"/>
          <w:szCs w:val="32"/>
          <w:lang w:val="en-US" w:eastAsia="zh-CN"/>
        </w:rPr>
        <w:t>北京市对外招商推介宣传片项目（代码11000022T000000456412）。该项目按照《中共北京市投资促进服务中心党组工作规则》，经中心党组审议通过后</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由财务处</w:t>
      </w:r>
      <w:r>
        <w:rPr>
          <w:rFonts w:hint="default" w:ascii="仿宋_GB2312" w:hAnsi="仿宋_GB2312" w:eastAsia="仿宋_GB2312" w:cs="仿宋_GB2312"/>
          <w:sz w:val="32"/>
          <w:szCs w:val="32"/>
          <w:lang w:val="en-US" w:eastAsia="zh-CN"/>
        </w:rPr>
        <w:t>上报</w:t>
      </w:r>
      <w:r>
        <w:rPr>
          <w:rFonts w:hint="eastAsia" w:ascii="仿宋_GB2312" w:hAnsi="仿宋_GB2312" w:eastAsia="仿宋_GB2312" w:cs="仿宋_GB2312"/>
          <w:sz w:val="32"/>
          <w:szCs w:val="32"/>
          <w:lang w:val="en-US" w:eastAsia="zh-CN"/>
        </w:rPr>
        <w:t>市财政</w:t>
      </w:r>
      <w:r>
        <w:rPr>
          <w:rFonts w:hint="default" w:ascii="仿宋_GB2312" w:hAnsi="仿宋_GB2312" w:eastAsia="仿宋_GB2312" w:cs="仿宋_GB2312"/>
          <w:sz w:val="32"/>
          <w:szCs w:val="32"/>
          <w:lang w:val="en-US" w:eastAsia="zh-CN"/>
        </w:rPr>
        <w:t>审批通过完成立项。</w:t>
      </w:r>
      <w:r>
        <w:rPr>
          <w:rFonts w:hint="eastAsia" w:ascii="仿宋_GB2312" w:hAnsi="仿宋_GB2312" w:eastAsia="仿宋_GB2312" w:cs="仿宋_GB2312"/>
          <w:b/>
          <w:bCs/>
          <w:sz w:val="32"/>
          <w:szCs w:val="32"/>
        </w:rPr>
        <w:t>评价认为，</w:t>
      </w:r>
      <w:r>
        <w:rPr>
          <w:rFonts w:hint="eastAsia" w:ascii="仿宋_GB2312" w:hAnsi="仿宋_GB2312" w:eastAsia="仿宋_GB2312" w:cs="仿宋_GB2312"/>
          <w:sz w:val="32"/>
          <w:szCs w:val="32"/>
        </w:rPr>
        <w:t>项目立项程序较为规范。</w:t>
      </w:r>
    </w:p>
    <w:p w14:paraId="071B94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default" w:ascii="仿宋_GB2312" w:hAnsi="仿宋_GB2312" w:eastAsia="仿宋_GB2312" w:cs="仿宋_GB2312"/>
          <w:b/>
          <w:bCs/>
          <w:color w:val="auto"/>
          <w:kern w:val="44"/>
          <w:sz w:val="32"/>
          <w:szCs w:val="32"/>
          <w:lang w:val="en-US" w:eastAsia="zh-CN"/>
        </w:rPr>
        <w:t>2.</w:t>
      </w:r>
      <w:r>
        <w:rPr>
          <w:rFonts w:hint="eastAsia" w:ascii="仿宋_GB2312" w:hAnsi="仿宋_GB2312" w:eastAsia="仿宋_GB2312" w:cs="仿宋_GB2312"/>
          <w:b/>
          <w:bCs/>
          <w:color w:val="auto"/>
          <w:kern w:val="44"/>
          <w:sz w:val="32"/>
          <w:szCs w:val="32"/>
          <w:lang w:val="en-US" w:eastAsia="zh-CN"/>
        </w:rPr>
        <w:t xml:space="preserve">绩效目标 </w:t>
      </w:r>
    </w:p>
    <w:p w14:paraId="7A9B6F0D">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color w:val="000000"/>
          <w:kern w:val="0"/>
          <w:sz w:val="32"/>
          <w:szCs w:val="32"/>
          <w:lang w:val="en-US" w:eastAsia="zh-CN" w:bidi="ar"/>
        </w:rPr>
        <w:t>（1）绩效目标合理性</w:t>
      </w:r>
      <w:r>
        <w:rPr>
          <w:rFonts w:hint="eastAsia" w:ascii="仿宋_GB2312" w:hAnsi="仿宋_GB2312" w:cs="仿宋_GB2312"/>
          <w:color w:val="000000"/>
          <w:kern w:val="0"/>
          <w:sz w:val="32"/>
          <w:szCs w:val="32"/>
          <w:lang w:val="en-US" w:eastAsia="zh-CN" w:bidi="ar"/>
        </w:rPr>
        <w:t>评价分析</w:t>
      </w:r>
    </w:p>
    <w:p w14:paraId="7FDFDDB0">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kern w:val="44"/>
          <w:sz w:val="32"/>
          <w:szCs w:val="32"/>
        </w:rPr>
      </w:pPr>
      <w:r>
        <w:rPr>
          <w:rFonts w:hint="eastAsia" w:ascii="仿宋_GB2312" w:hAnsi="仿宋_GB2312" w:cs="仿宋_GB2312"/>
          <w:kern w:val="44"/>
          <w:sz w:val="32"/>
          <w:szCs w:val="32"/>
          <w:lang w:val="en-US" w:eastAsia="zh-CN"/>
        </w:rPr>
        <w:t>市投资促进中心</w:t>
      </w:r>
      <w:r>
        <w:rPr>
          <w:rFonts w:hint="eastAsia" w:ascii="仿宋_GB2312" w:hAnsi="仿宋_GB2312" w:eastAsia="仿宋_GB2312" w:cs="仿宋_GB2312"/>
          <w:kern w:val="44"/>
          <w:sz w:val="32"/>
          <w:szCs w:val="32"/>
        </w:rPr>
        <w:t>根据项目实施内容设定总体绩效目标，阐明项目预期效果，并进一步细化出具体指标。</w:t>
      </w:r>
      <w:r>
        <w:rPr>
          <w:rFonts w:hint="eastAsia" w:ascii="仿宋_GB2312" w:hAnsi="仿宋_GB2312" w:eastAsia="仿宋_GB2312" w:cs="仿宋_GB2312"/>
          <w:b/>
          <w:bCs/>
          <w:kern w:val="44"/>
          <w:sz w:val="32"/>
          <w:szCs w:val="32"/>
        </w:rPr>
        <w:t>评价认为</w:t>
      </w:r>
      <w:r>
        <w:rPr>
          <w:rFonts w:hint="eastAsia" w:ascii="仿宋_GB2312" w:hAnsi="仿宋_GB2312" w:eastAsia="仿宋_GB2312" w:cs="仿宋_GB2312"/>
          <w:kern w:val="44"/>
          <w:sz w:val="32"/>
          <w:szCs w:val="32"/>
        </w:rPr>
        <w:t>，项目总体目标较为完整，但绩效</w:t>
      </w:r>
      <w:r>
        <w:rPr>
          <w:rFonts w:hint="eastAsia" w:ascii="仿宋_GB2312" w:hAnsi="仿宋_GB2312" w:eastAsia="仿宋_GB2312" w:cs="仿宋_GB2312"/>
          <w:kern w:val="44"/>
          <w:sz w:val="32"/>
          <w:szCs w:val="32"/>
          <w:lang w:eastAsia="zh-Hans"/>
        </w:rPr>
        <w:t>指</w:t>
      </w:r>
      <w:r>
        <w:rPr>
          <w:rFonts w:hint="eastAsia" w:ascii="仿宋_GB2312" w:hAnsi="仿宋_GB2312" w:eastAsia="仿宋_GB2312" w:cs="仿宋_GB2312"/>
          <w:kern w:val="44"/>
          <w:sz w:val="32"/>
          <w:szCs w:val="32"/>
        </w:rPr>
        <w:t>标申报质量有待提高，</w:t>
      </w:r>
      <w:r>
        <w:rPr>
          <w:rFonts w:hint="eastAsia" w:ascii="仿宋_GB2312" w:hAnsi="仿宋_GB2312" w:eastAsia="仿宋_GB2312" w:cs="仿宋_GB2312"/>
          <w:kern w:val="44"/>
          <w:sz w:val="32"/>
          <w:szCs w:val="32"/>
          <w:lang w:eastAsia="zh-Hans"/>
        </w:rPr>
        <w:t>如产出指标</w:t>
      </w:r>
      <w:r>
        <w:rPr>
          <w:rFonts w:hint="eastAsia" w:ascii="仿宋_GB2312" w:hAnsi="仿宋_GB2312" w:eastAsia="仿宋_GB2312" w:cs="仿宋_GB2312"/>
          <w:kern w:val="44"/>
          <w:sz w:val="32"/>
          <w:szCs w:val="32"/>
          <w:lang w:eastAsia="zh-CN"/>
        </w:rPr>
        <w:t>“</w:t>
      </w:r>
      <w:r>
        <w:rPr>
          <w:rFonts w:hint="eastAsia" w:ascii="仿宋_GB2312" w:hAnsi="仿宋_GB2312" w:eastAsia="仿宋_GB2312" w:cs="仿宋_GB2312"/>
          <w:kern w:val="44"/>
          <w:sz w:val="32"/>
          <w:szCs w:val="32"/>
          <w:lang w:eastAsia="zh-Hans"/>
        </w:rPr>
        <w:t>宣传、展示北京经济形象，吸引优质项目落户；为我中心承办、参与的京（境）内外大型投资促进活动提供支持</w:t>
      </w:r>
      <w:r>
        <w:rPr>
          <w:rFonts w:hint="eastAsia" w:ascii="仿宋_GB2312" w:hAnsi="仿宋_GB2312" w:eastAsia="仿宋_GB2312" w:cs="仿宋_GB2312"/>
          <w:kern w:val="44"/>
          <w:sz w:val="32"/>
          <w:szCs w:val="32"/>
          <w:lang w:eastAsia="zh-CN"/>
        </w:rPr>
        <w:t>”</w:t>
      </w:r>
      <w:r>
        <w:rPr>
          <w:rFonts w:hint="eastAsia" w:ascii="仿宋_GB2312" w:hAnsi="仿宋_GB2312" w:eastAsia="仿宋_GB2312" w:cs="仿宋_GB2312"/>
          <w:kern w:val="44"/>
          <w:sz w:val="32"/>
          <w:szCs w:val="32"/>
        </w:rPr>
        <w:t>，</w:t>
      </w:r>
      <w:r>
        <w:rPr>
          <w:rFonts w:hint="eastAsia" w:ascii="仿宋_GB2312" w:hAnsi="仿宋_GB2312" w:eastAsia="仿宋_GB2312" w:cs="仿宋_GB2312"/>
          <w:kern w:val="44"/>
          <w:sz w:val="32"/>
          <w:szCs w:val="32"/>
          <w:lang w:eastAsia="zh-Hans"/>
        </w:rPr>
        <w:t>未明确</w:t>
      </w:r>
      <w:r>
        <w:rPr>
          <w:rFonts w:hint="eastAsia" w:ascii="仿宋_GB2312" w:hAnsi="仿宋_GB2312" w:eastAsia="仿宋_GB2312" w:cs="仿宋_GB2312"/>
          <w:kern w:val="44"/>
          <w:sz w:val="32"/>
          <w:szCs w:val="32"/>
          <w:lang w:val="en-US" w:eastAsia="zh-CN"/>
        </w:rPr>
        <w:t>为</w:t>
      </w:r>
      <w:r>
        <w:rPr>
          <w:rFonts w:hint="eastAsia" w:ascii="仿宋_GB2312" w:hAnsi="仿宋_GB2312" w:cs="仿宋_GB2312"/>
          <w:kern w:val="44"/>
          <w:sz w:val="32"/>
          <w:szCs w:val="32"/>
          <w:lang w:val="en-US" w:eastAsia="zh-CN"/>
        </w:rPr>
        <w:t>投资</w:t>
      </w:r>
      <w:r>
        <w:rPr>
          <w:rFonts w:hint="eastAsia" w:ascii="仿宋_GB2312" w:hAnsi="仿宋_GB2312" w:eastAsia="仿宋_GB2312" w:cs="仿宋_GB2312"/>
          <w:kern w:val="44"/>
          <w:sz w:val="32"/>
          <w:szCs w:val="32"/>
          <w:lang w:val="en-US" w:eastAsia="zh-CN"/>
        </w:rPr>
        <w:t>促进活动提供支持</w:t>
      </w:r>
      <w:r>
        <w:rPr>
          <w:rFonts w:hint="eastAsia" w:ascii="仿宋_GB2312" w:hAnsi="仿宋_GB2312" w:eastAsia="仿宋_GB2312" w:cs="仿宋_GB2312"/>
          <w:kern w:val="44"/>
          <w:sz w:val="32"/>
          <w:szCs w:val="32"/>
          <w:lang w:eastAsia="zh-Hans"/>
        </w:rPr>
        <w:t>的</w:t>
      </w:r>
      <w:r>
        <w:rPr>
          <w:rFonts w:hint="eastAsia" w:ascii="仿宋_GB2312" w:hAnsi="仿宋_GB2312" w:cs="仿宋_GB2312"/>
          <w:kern w:val="44"/>
          <w:sz w:val="32"/>
          <w:szCs w:val="32"/>
          <w:lang w:val="en-US" w:eastAsia="zh-CN"/>
        </w:rPr>
        <w:t>质量</w:t>
      </w:r>
      <w:r>
        <w:rPr>
          <w:rFonts w:hint="eastAsia" w:ascii="仿宋_GB2312" w:hAnsi="仿宋_GB2312" w:eastAsia="仿宋_GB2312" w:cs="仿宋_GB2312"/>
          <w:kern w:val="44"/>
          <w:sz w:val="32"/>
          <w:szCs w:val="32"/>
          <w:lang w:eastAsia="zh-Hans"/>
        </w:rPr>
        <w:t>标准，</w:t>
      </w:r>
      <w:r>
        <w:rPr>
          <w:rFonts w:hint="eastAsia" w:ascii="仿宋_GB2312" w:hAnsi="仿宋_GB2312" w:cs="仿宋_GB2312"/>
          <w:kern w:val="44"/>
          <w:sz w:val="32"/>
          <w:szCs w:val="32"/>
          <w:lang w:val="en-US" w:eastAsia="zh-CN"/>
        </w:rPr>
        <w:t>且</w:t>
      </w:r>
      <w:r>
        <w:rPr>
          <w:rFonts w:hint="eastAsia" w:ascii="仿宋_GB2312" w:hAnsi="仿宋_GB2312" w:cs="仿宋_GB2312"/>
          <w:color w:val="000000"/>
          <w:kern w:val="0"/>
          <w:sz w:val="32"/>
          <w:szCs w:val="32"/>
          <w:lang w:val="en-US" w:eastAsia="zh-CN" w:bidi="ar"/>
        </w:rPr>
        <w:t>与宣传相关产出绩效指标的相关性体现不够充分</w:t>
      </w:r>
      <w:r>
        <w:rPr>
          <w:rFonts w:hint="eastAsia" w:ascii="仿宋_GB2312" w:hAnsi="仿宋_GB2312" w:eastAsia="仿宋_GB2312" w:cs="仿宋_GB2312"/>
          <w:kern w:val="44"/>
          <w:sz w:val="32"/>
          <w:szCs w:val="32"/>
        </w:rPr>
        <w:t>。</w:t>
      </w:r>
    </w:p>
    <w:p w14:paraId="4EC11B2D">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ascii="仿宋_GB2312" w:hAnsi="宋体" w:eastAsia="仿宋_GB2312" w:cs="仿宋_GB2312"/>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2</w:t>
      </w:r>
      <w:r>
        <w:rPr>
          <w:rFonts w:hint="eastAsia" w:ascii="仿宋_GB2312" w:hAnsi="宋体" w:eastAsia="仿宋_GB2312" w:cs="仿宋_GB2312"/>
          <w:color w:val="000000"/>
          <w:kern w:val="0"/>
          <w:sz w:val="32"/>
          <w:szCs w:val="32"/>
          <w:lang w:val="en-US" w:eastAsia="zh-CN" w:bidi="ar"/>
        </w:rPr>
        <w:t>）绩效指标明确性</w:t>
      </w:r>
      <w:r>
        <w:rPr>
          <w:rFonts w:hint="eastAsia" w:ascii="仿宋_GB2312" w:hAnsi="宋体" w:cs="仿宋_GB2312"/>
          <w:color w:val="000000"/>
          <w:kern w:val="0"/>
          <w:sz w:val="32"/>
          <w:szCs w:val="32"/>
          <w:lang w:val="en-US" w:eastAsia="zh-CN" w:bidi="ar"/>
        </w:rPr>
        <w:t>评价分析</w:t>
      </w:r>
      <w:r>
        <w:rPr>
          <w:rFonts w:hint="eastAsia" w:ascii="仿宋_GB2312" w:hAnsi="宋体" w:eastAsia="仿宋_GB2312" w:cs="仿宋_GB2312"/>
          <w:color w:val="000000"/>
          <w:kern w:val="0"/>
          <w:sz w:val="32"/>
          <w:szCs w:val="32"/>
          <w:lang w:val="en-US" w:eastAsia="zh-CN" w:bidi="ar"/>
        </w:rPr>
        <w:t xml:space="preserve"> </w:t>
      </w:r>
    </w:p>
    <w:p w14:paraId="6DC7818D">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default" w:ascii="仿宋_GB2312" w:hAnsi="仿宋_GB2312" w:eastAsia="仿宋_GB2312" w:cs="仿宋_GB2312"/>
          <w:sz w:val="32"/>
          <w:szCs w:val="32"/>
          <w:lang w:val="en-US" w:eastAsia="zh-CN"/>
        </w:rPr>
        <w:t>该项目根据总体绩效目标设定了具体的绩效指标，明确了项目的绩效</w:t>
      </w:r>
      <w:r>
        <w:rPr>
          <w:rFonts w:hint="eastAsia" w:ascii="仿宋_GB2312" w:hAnsi="仿宋_GB2312" w:cs="仿宋_GB2312"/>
          <w:sz w:val="32"/>
          <w:szCs w:val="32"/>
          <w:lang w:val="en-US" w:eastAsia="zh-CN"/>
        </w:rPr>
        <w:t>产出</w:t>
      </w:r>
      <w:r>
        <w:rPr>
          <w:rFonts w:hint="default"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lang w:val="en-US" w:eastAsia="zh-CN"/>
        </w:rPr>
        <w:t>质量</w:t>
      </w:r>
      <w:r>
        <w:rPr>
          <w:rFonts w:hint="default" w:ascii="仿宋_GB2312" w:hAnsi="仿宋_GB2312" w:eastAsia="仿宋_GB2312" w:cs="仿宋_GB2312"/>
          <w:sz w:val="32"/>
          <w:szCs w:val="32"/>
          <w:lang w:val="en-US" w:eastAsia="zh-CN"/>
        </w:rPr>
        <w:t>、效果指标</w:t>
      </w:r>
      <w:r>
        <w:rPr>
          <w:rFonts w:hint="eastAsia" w:ascii="仿宋_GB2312" w:hAnsi="仿宋_GB2312" w:cs="仿宋_GB2312"/>
          <w:sz w:val="32"/>
          <w:szCs w:val="32"/>
          <w:lang w:val="en-US" w:eastAsia="zh-CN"/>
        </w:rPr>
        <w:t>，但</w:t>
      </w:r>
      <w:r>
        <w:rPr>
          <w:rFonts w:hint="default" w:ascii="仿宋_GB2312" w:hAnsi="仿宋_GB2312" w:eastAsia="仿宋_GB2312" w:cs="仿宋_GB2312"/>
          <w:sz w:val="32"/>
          <w:szCs w:val="32"/>
          <w:lang w:val="en-US" w:eastAsia="zh-CN"/>
        </w:rPr>
        <w:t>部分绩效指标未量化设置，不好考量。如，质量指标没有设置履约验收率和宣传片技术要求合格率</w:t>
      </w:r>
      <w:r>
        <w:rPr>
          <w:rFonts w:hint="eastAsia" w:ascii="仿宋_GB2312" w:hAnsi="仿宋_GB2312" w:cs="仿宋_GB2312"/>
          <w:sz w:val="32"/>
          <w:szCs w:val="32"/>
          <w:lang w:val="en-US" w:eastAsia="zh-CN"/>
        </w:rPr>
        <w:t>。</w:t>
      </w:r>
      <w:r>
        <w:rPr>
          <w:rFonts w:hint="eastAsia" w:ascii="仿宋_GB2312" w:hAnsi="仿宋_GB2312" w:cs="仿宋_GB2312"/>
          <w:b/>
          <w:bCs/>
          <w:sz w:val="32"/>
          <w:szCs w:val="32"/>
          <w:lang w:val="en-US" w:eastAsia="zh-CN"/>
        </w:rPr>
        <w:t>评价认为，</w:t>
      </w:r>
      <w:r>
        <w:rPr>
          <w:rFonts w:hint="default" w:ascii="仿宋_GB2312" w:hAnsi="仿宋_GB2312" w:eastAsia="仿宋_GB2312" w:cs="仿宋_GB2312"/>
          <w:sz w:val="32"/>
          <w:szCs w:val="32"/>
          <w:lang w:val="en-US" w:eastAsia="zh-CN"/>
        </w:rPr>
        <w:t>项目绩效目标与实际工作内容虽然相关，但仅是任务描述；还存在绩效指标明确性不足，指标设定较为笼统，不够细化</w:t>
      </w:r>
      <w:r>
        <w:rPr>
          <w:rFonts w:hint="eastAsia" w:ascii="仿宋_GB2312" w:hAnsi="仿宋_GB2312" w:cs="仿宋_GB2312"/>
          <w:sz w:val="32"/>
          <w:szCs w:val="32"/>
          <w:lang w:val="en-US" w:eastAsia="zh-CN"/>
        </w:rPr>
        <w:t>、量化</w:t>
      </w:r>
      <w:r>
        <w:rPr>
          <w:rFonts w:hint="default" w:ascii="仿宋_GB2312" w:hAnsi="仿宋_GB2312" w:eastAsia="仿宋_GB2312" w:cs="仿宋_GB2312"/>
          <w:sz w:val="32"/>
          <w:szCs w:val="32"/>
          <w:lang w:val="en-US" w:eastAsia="zh-CN"/>
        </w:rPr>
        <w:t>，可衡量性不足。</w:t>
      </w:r>
    </w:p>
    <w:p w14:paraId="70DC8B3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仿宋_GB2312" w:hAnsi="仿宋_GB2312" w:eastAsia="仿宋_GB2312" w:cs="仿宋_GB2312"/>
          <w:b/>
          <w:bCs/>
          <w:color w:val="auto"/>
          <w:kern w:val="44"/>
          <w:sz w:val="32"/>
          <w:szCs w:val="32"/>
          <w:lang w:val="en-US" w:eastAsia="zh-CN"/>
        </w:rPr>
      </w:pPr>
      <w:r>
        <w:rPr>
          <w:rFonts w:hint="default" w:ascii="仿宋_GB2312" w:hAnsi="仿宋_GB2312" w:eastAsia="仿宋_GB2312" w:cs="仿宋_GB2312"/>
          <w:b/>
          <w:bCs/>
          <w:color w:val="auto"/>
          <w:kern w:val="44"/>
          <w:sz w:val="32"/>
          <w:szCs w:val="32"/>
          <w:lang w:val="en-US" w:eastAsia="zh-CN"/>
        </w:rPr>
        <w:t>3.</w:t>
      </w:r>
      <w:r>
        <w:rPr>
          <w:rFonts w:hint="eastAsia" w:ascii="仿宋_GB2312" w:hAnsi="仿宋_GB2312" w:eastAsia="仿宋_GB2312" w:cs="仿宋_GB2312"/>
          <w:b/>
          <w:bCs/>
          <w:color w:val="auto"/>
          <w:kern w:val="44"/>
          <w:sz w:val="32"/>
          <w:szCs w:val="32"/>
          <w:lang w:val="en-US" w:eastAsia="zh-CN"/>
        </w:rPr>
        <w:t>资金投入</w:t>
      </w:r>
    </w:p>
    <w:p w14:paraId="36F8FA4A">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outlineLvl w:val="9"/>
        <w:rPr>
          <w:rFonts w:hint="default" w:ascii="仿宋_GB2312" w:hAnsi="仿宋_GB2312" w:eastAsia="仿宋_GB2312" w:cs="仿宋_GB2312"/>
          <w:sz w:val="32"/>
          <w:szCs w:val="32"/>
          <w:lang w:val="en-US" w:eastAsia="zh-CN"/>
        </w:rPr>
      </w:pPr>
      <w:bookmarkStart w:id="41" w:name="_Toc29404"/>
      <w:bookmarkStart w:id="42" w:name="_Toc5808"/>
      <w:bookmarkStart w:id="43" w:name="_Toc8314"/>
      <w:bookmarkStart w:id="44" w:name="_Toc94186676"/>
      <w:bookmarkStart w:id="45" w:name="_Toc27851"/>
      <w:bookmarkStart w:id="46" w:name="_Toc18121"/>
      <w:r>
        <w:rPr>
          <w:rFonts w:hint="default" w:ascii="仿宋_GB2312" w:hAnsi="仿宋_GB2312" w:eastAsia="仿宋_GB2312" w:cs="仿宋_GB2312"/>
          <w:sz w:val="32"/>
          <w:szCs w:val="32"/>
          <w:lang w:val="en-US" w:eastAsia="zh-CN"/>
        </w:rPr>
        <w:t>（1）预算编制科学性评价分析</w:t>
      </w:r>
    </w:p>
    <w:p w14:paraId="0567C0F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市投资促进中心</w:t>
      </w:r>
      <w:r>
        <w:rPr>
          <w:rFonts w:hint="eastAsia" w:ascii="仿宋_GB2312" w:hAnsi="仿宋_GB2312" w:eastAsia="仿宋_GB2312" w:cs="仿宋_GB2312"/>
          <w:b w:val="0"/>
          <w:bCs w:val="0"/>
          <w:sz w:val="32"/>
          <w:szCs w:val="32"/>
          <w:lang w:val="en-US" w:eastAsia="zh-CN"/>
        </w:rPr>
        <w:t>通过市场询价、历年资金对比等方式，编制该项目预算。</w:t>
      </w:r>
      <w:r>
        <w:rPr>
          <w:rFonts w:hint="eastAsia" w:eastAsia="仿宋_GB2312"/>
          <w:sz w:val="32"/>
          <w:szCs w:val="32"/>
          <w:highlight w:val="none"/>
        </w:rPr>
        <w:t>该项目</w:t>
      </w:r>
      <w:r>
        <w:rPr>
          <w:rFonts w:hint="eastAsia" w:ascii="仿宋_GB2312" w:hAnsi="仿宋_GB2312" w:eastAsia="仿宋_GB2312" w:cs="仿宋_GB2312"/>
          <w:sz w:val="32"/>
          <w:szCs w:val="32"/>
          <w:highlight w:val="none"/>
          <w:lang w:val="en" w:eastAsia="zh-CN"/>
        </w:rPr>
        <w:t>根据《</w:t>
      </w:r>
      <w:r>
        <w:rPr>
          <w:rFonts w:hint="eastAsia" w:ascii="仿宋_GB2312" w:hAnsi="仿宋_GB2312" w:eastAsia="仿宋_GB2312" w:cs="仿宋_GB2312"/>
          <w:sz w:val="32"/>
          <w:szCs w:val="32"/>
          <w:highlight w:val="none"/>
          <w:lang w:val="en-US" w:eastAsia="zh-CN"/>
        </w:rPr>
        <w:t>北京市投资促进服务中心政府采购管理办法（2021年修订版）》（京投促发〔2021〕19号）“</w:t>
      </w:r>
      <w:r>
        <w:rPr>
          <w:rFonts w:hint="eastAsia" w:ascii="仿宋_GB2312" w:hAnsi="仿宋_GB2312" w:eastAsia="仿宋_GB2312" w:cs="仿宋_GB2312"/>
          <w:sz w:val="32"/>
          <w:szCs w:val="32"/>
          <w:highlight w:val="none"/>
          <w:lang w:val="en" w:eastAsia="zh-CN"/>
        </w:rPr>
        <w:t>采购的项目在集中采购目录之外且采购金额在100万元（含）以上、200万元（不含）以下的，由需求处室委托政府采购代理机构采用竞争性磋商方式进行采购”的有关规定，</w:t>
      </w:r>
      <w:r>
        <w:rPr>
          <w:rFonts w:hint="eastAsia" w:ascii="仿宋_GB2312" w:hAnsi="仿宋_GB2312" w:cs="仿宋_GB2312"/>
          <w:sz w:val="32"/>
          <w:szCs w:val="32"/>
          <w:highlight w:val="none"/>
          <w:lang w:val="en-US" w:eastAsia="zh-CN"/>
        </w:rPr>
        <w:t>最终通过</w:t>
      </w:r>
      <w:r>
        <w:rPr>
          <w:rFonts w:hint="eastAsia" w:ascii="仿宋_GB2312" w:hAnsi="仿宋_GB2312" w:eastAsia="仿宋_GB2312" w:cs="仿宋_GB2312"/>
          <w:sz w:val="32"/>
          <w:szCs w:val="32"/>
          <w:highlight w:val="none"/>
          <w:lang w:val="en" w:eastAsia="zh-CN"/>
        </w:rPr>
        <w:t>竞争性磋商方式开展</w:t>
      </w:r>
      <w:r>
        <w:rPr>
          <w:rFonts w:hint="eastAsia" w:ascii="仿宋_GB2312" w:hAnsi="仿宋_GB2312" w:cs="仿宋_GB2312"/>
          <w:sz w:val="32"/>
          <w:szCs w:val="32"/>
          <w:highlight w:val="none"/>
          <w:lang w:val="en" w:eastAsia="zh-CN"/>
        </w:rPr>
        <w:t>采购</w:t>
      </w:r>
      <w:r>
        <w:rPr>
          <w:rFonts w:hint="eastAsia" w:ascii="仿宋_GB2312" w:hAnsi="仿宋_GB2312" w:eastAsia="仿宋_GB2312" w:cs="仿宋_GB2312"/>
          <w:sz w:val="32"/>
          <w:szCs w:val="32"/>
          <w:highlight w:val="none"/>
          <w:lang w:val="en" w:eastAsia="zh-CN"/>
        </w:rPr>
        <w:t>工作</w:t>
      </w:r>
      <w:r>
        <w:rPr>
          <w:rFonts w:hint="eastAsia" w:ascii="仿宋_GB2312" w:hAnsi="仿宋_GB2312" w:cs="仿宋_GB2312"/>
          <w:sz w:val="32"/>
          <w:szCs w:val="32"/>
          <w:highlight w:val="none"/>
          <w:lang w:val="en" w:eastAsia="zh-CN"/>
        </w:rPr>
        <w:t>，</w:t>
      </w:r>
      <w:r>
        <w:rPr>
          <w:rFonts w:hint="eastAsia" w:ascii="仿宋_GB2312" w:hAnsi="仿宋_GB2312" w:cs="仿宋_GB2312"/>
          <w:sz w:val="32"/>
          <w:szCs w:val="32"/>
          <w:highlight w:val="none"/>
          <w:lang w:val="en-US" w:eastAsia="zh-CN"/>
        </w:rPr>
        <w:t>确定项目金额和项目供应商</w:t>
      </w:r>
      <w:r>
        <w:rPr>
          <w:rFonts w:hint="eastAsia" w:eastAsia="仿宋_GB2312"/>
          <w:sz w:val="32"/>
          <w:szCs w:val="32"/>
        </w:rPr>
        <w:t>。</w:t>
      </w:r>
      <w:r>
        <w:rPr>
          <w:rFonts w:hint="default" w:ascii="仿宋_GB2312" w:hAnsi="仿宋_GB2312" w:eastAsia="仿宋_GB2312" w:cs="仿宋_GB2312"/>
          <w:b/>
          <w:bCs/>
          <w:sz w:val="32"/>
          <w:szCs w:val="32"/>
          <w:lang w:val="en-US" w:eastAsia="zh-CN"/>
        </w:rPr>
        <w:t>评价认为</w:t>
      </w:r>
      <w:r>
        <w:rPr>
          <w:rFonts w:hint="default" w:ascii="仿宋_GB2312" w:hAnsi="仿宋_GB2312" w:eastAsia="仿宋_GB2312" w:cs="仿宋_GB2312"/>
          <w:b w:val="0"/>
          <w:bCs w:val="0"/>
          <w:sz w:val="32"/>
          <w:szCs w:val="32"/>
          <w:lang w:val="en-US" w:eastAsia="zh-CN"/>
        </w:rPr>
        <w:t>，通过预算额度进行政府采购程序，但未体现预算测算依据的充分性</w:t>
      </w:r>
      <w:r>
        <w:rPr>
          <w:rFonts w:hint="eastAsia" w:ascii="仿宋_GB2312" w:hAnsi="仿宋_GB2312" w:cs="仿宋_GB2312"/>
          <w:b w:val="0"/>
          <w:bCs w:val="0"/>
          <w:sz w:val="32"/>
          <w:szCs w:val="32"/>
          <w:lang w:val="en-US" w:eastAsia="zh-CN"/>
        </w:rPr>
        <w:t>，也</w:t>
      </w:r>
      <w:r>
        <w:rPr>
          <w:rFonts w:hint="default" w:ascii="仿宋_GB2312" w:hAnsi="仿宋_GB2312" w:eastAsia="仿宋_GB2312" w:cs="仿宋_GB2312"/>
          <w:b w:val="0"/>
          <w:bCs w:val="0"/>
          <w:sz w:val="32"/>
          <w:szCs w:val="32"/>
          <w:lang w:val="en-US" w:eastAsia="zh-CN"/>
        </w:rPr>
        <w:t>未明确每项工作内容和对应单价标准的</w:t>
      </w:r>
      <w:r>
        <w:rPr>
          <w:rFonts w:hint="eastAsia" w:ascii="仿宋_GB2312" w:hAnsi="仿宋_GB2312" w:cs="仿宋_GB2312"/>
          <w:b w:val="0"/>
          <w:bCs w:val="0"/>
          <w:sz w:val="32"/>
          <w:szCs w:val="32"/>
          <w:lang w:val="en-US" w:eastAsia="zh-CN"/>
        </w:rPr>
        <w:t>科学性</w:t>
      </w:r>
      <w:r>
        <w:rPr>
          <w:rFonts w:hint="default" w:ascii="仿宋_GB2312" w:hAnsi="仿宋_GB2312" w:eastAsia="仿宋_GB2312" w:cs="仿宋_GB2312"/>
          <w:b w:val="0"/>
          <w:bCs w:val="0"/>
          <w:sz w:val="32"/>
          <w:szCs w:val="32"/>
          <w:lang w:val="en-US" w:eastAsia="zh-CN"/>
        </w:rPr>
        <w:t>依据</w:t>
      </w:r>
      <w:r>
        <w:rPr>
          <w:rFonts w:hint="default" w:ascii="仿宋_GB2312" w:hAnsi="仿宋_GB2312" w:eastAsia="仿宋_GB2312" w:cs="仿宋_GB2312"/>
          <w:sz w:val="32"/>
          <w:szCs w:val="32"/>
          <w:lang w:val="en-US" w:eastAsia="zh-CN"/>
        </w:rPr>
        <w:t>。</w:t>
      </w:r>
    </w:p>
    <w:p w14:paraId="09D28DBB">
      <w:pPr>
        <w:pStyle w:val="1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（2）资金分配合理性评价分析</w:t>
      </w:r>
    </w:p>
    <w:p w14:paraId="2395A55C">
      <w:pPr>
        <w:pStyle w:val="1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楷体_GB2312" w:hAnsi="楷体_GB2312" w:eastAsia="楷体_GB2312" w:cs="楷体_GB2312"/>
          <w:b/>
          <w:bCs/>
          <w:kern w:val="44"/>
          <w:sz w:val="32"/>
          <w:szCs w:val="32"/>
          <w:lang w:val="en-US" w:eastAsia="zh-CN"/>
        </w:rPr>
      </w:pPr>
      <w:r>
        <w:rPr>
          <w:rFonts w:hint="default" w:ascii="仿宋_GB2312" w:hAnsi="仿宋_GB2312" w:eastAsia="仿宋_GB2312" w:cs="仿宋_GB2312"/>
          <w:sz w:val="32"/>
          <w:szCs w:val="32"/>
          <w:lang w:val="en-US" w:eastAsia="zh-CN"/>
        </w:rPr>
        <w:t>该项目预算资金</w:t>
      </w:r>
      <w:r>
        <w:rPr>
          <w:rFonts w:hint="eastAsia" w:ascii="仿宋_GB2312" w:hAnsi="仿宋_GB2312" w:eastAsia="仿宋_GB2312" w:cs="仿宋_GB2312"/>
          <w:sz w:val="32"/>
          <w:szCs w:val="32"/>
          <w:lang w:val="en-US" w:eastAsia="zh-CN"/>
        </w:rPr>
        <w:t>主要用于宣传片拍摄，根据</w:t>
      </w:r>
      <w:r>
        <w:rPr>
          <w:rFonts w:hint="default" w:ascii="仿宋_GB2312" w:hAnsi="仿宋_GB2312" w:eastAsia="仿宋_GB2312" w:cs="仿宋_GB2312"/>
          <w:sz w:val="32"/>
          <w:szCs w:val="32"/>
          <w:lang w:val="en-US" w:eastAsia="zh-CN"/>
        </w:rPr>
        <w:t>合同约定及项目实施进度</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具体</w:t>
      </w:r>
      <w:r>
        <w:rPr>
          <w:rFonts w:hint="eastAsia" w:ascii="仿宋_GB2312" w:hAnsi="仿宋_GB2312" w:eastAsia="仿宋_GB2312" w:cs="仿宋_GB2312"/>
          <w:sz w:val="32"/>
          <w:szCs w:val="32"/>
          <w:lang w:val="en-US" w:eastAsia="zh-CN"/>
        </w:rPr>
        <w:t>服务</w:t>
      </w:r>
      <w:r>
        <w:rPr>
          <w:rFonts w:hint="default"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lang w:val="en-US" w:eastAsia="zh-CN"/>
        </w:rPr>
        <w:t>分别在2023年6月和2023年11月分2次进行支付。</w:t>
      </w:r>
      <w:r>
        <w:rPr>
          <w:rFonts w:hint="eastAsia" w:ascii="仿宋_GB2312" w:hAnsi="仿宋_GB2312" w:eastAsia="仿宋_GB2312" w:cs="仿宋_GB2312"/>
          <w:b/>
          <w:bCs/>
          <w:sz w:val="32"/>
          <w:szCs w:val="32"/>
          <w:lang w:val="en-US" w:eastAsia="zh-CN"/>
        </w:rPr>
        <w:t>评价认为</w:t>
      </w:r>
      <w:r>
        <w:rPr>
          <w:rFonts w:hint="eastAsia" w:ascii="仿宋_GB2312" w:hAnsi="仿宋_GB2312" w:eastAsia="仿宋_GB2312" w:cs="仿宋_GB2312"/>
          <w:sz w:val="32"/>
          <w:szCs w:val="32"/>
          <w:lang w:val="en-US" w:eastAsia="zh-CN"/>
        </w:rPr>
        <w:t>，在</w:t>
      </w:r>
      <w:r>
        <w:rPr>
          <w:rFonts w:hint="default" w:ascii="仿宋_GB2312" w:hAnsi="仿宋_GB2312" w:eastAsia="仿宋_GB2312" w:cs="仿宋_GB2312"/>
          <w:sz w:val="32"/>
          <w:szCs w:val="32"/>
          <w:lang w:val="en-US" w:eastAsia="zh-CN"/>
        </w:rPr>
        <w:t>预算资金</w:t>
      </w:r>
      <w:r>
        <w:rPr>
          <w:rFonts w:hint="eastAsia" w:ascii="仿宋_GB2312" w:hAnsi="仿宋_GB2312" w:eastAsia="仿宋_GB2312" w:cs="仿宋_GB2312"/>
          <w:sz w:val="32"/>
          <w:szCs w:val="32"/>
          <w:lang w:val="en-US" w:eastAsia="zh-CN"/>
        </w:rPr>
        <w:t>分配方面</w:t>
      </w:r>
      <w:r>
        <w:rPr>
          <w:rFonts w:hint="default" w:ascii="仿宋_GB2312" w:hAnsi="仿宋_GB2312" w:eastAsia="仿宋_GB2312" w:cs="仿宋_GB2312"/>
          <w:sz w:val="32"/>
          <w:szCs w:val="32"/>
          <w:lang w:val="en-US" w:eastAsia="zh-CN"/>
        </w:rPr>
        <w:t>，结合总体绩效目标和绩效指标内容，对项目预算资金分配进行</w:t>
      </w:r>
      <w:r>
        <w:rPr>
          <w:rFonts w:hint="eastAsia" w:ascii="仿宋_GB2312" w:hAnsi="仿宋_GB2312" w:eastAsia="仿宋_GB2312" w:cs="仿宋_GB2312"/>
          <w:sz w:val="32"/>
          <w:szCs w:val="32"/>
          <w:lang w:val="en-US" w:eastAsia="zh-CN"/>
        </w:rPr>
        <w:t>了</w:t>
      </w:r>
      <w:r>
        <w:rPr>
          <w:rFonts w:hint="default" w:ascii="仿宋_GB2312" w:hAnsi="仿宋_GB2312" w:eastAsia="仿宋_GB2312" w:cs="仿宋_GB2312"/>
          <w:sz w:val="32"/>
          <w:szCs w:val="32"/>
          <w:lang w:val="en-US" w:eastAsia="zh-CN"/>
        </w:rPr>
        <w:t>内部审核。</w:t>
      </w:r>
    </w:p>
    <w:p w14:paraId="28E083CD">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outlineLvl w:val="1"/>
        <w:rPr>
          <w:rFonts w:hint="eastAsia" w:ascii="楷体_GB2312" w:hAnsi="楷体_GB2312" w:eastAsia="楷体_GB2312" w:cs="楷体_GB2312"/>
          <w:b/>
          <w:bCs/>
          <w:kern w:val="44"/>
          <w:sz w:val="32"/>
          <w:szCs w:val="32"/>
          <w:lang w:val="en-US" w:eastAsia="zh-CN"/>
        </w:rPr>
      </w:pPr>
      <w:r>
        <w:rPr>
          <w:rFonts w:hint="eastAsia" w:ascii="楷体_GB2312" w:hAnsi="楷体_GB2312" w:eastAsia="楷体_GB2312" w:cs="楷体_GB2312"/>
          <w:b/>
          <w:bCs/>
          <w:kern w:val="44"/>
          <w:sz w:val="32"/>
          <w:szCs w:val="32"/>
          <w:lang w:val="en-US" w:eastAsia="zh-CN"/>
        </w:rPr>
        <w:t>（二）项目过程情况</w:t>
      </w:r>
      <w:bookmarkEnd w:id="41"/>
      <w:bookmarkEnd w:id="42"/>
      <w:bookmarkEnd w:id="43"/>
      <w:bookmarkEnd w:id="44"/>
      <w:bookmarkEnd w:id="45"/>
      <w:bookmarkEnd w:id="46"/>
    </w:p>
    <w:p w14:paraId="67AB94F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cs="仿宋_GB2312"/>
          <w:bCs/>
          <w:color w:val="auto"/>
          <w:kern w:val="44"/>
          <w:sz w:val="32"/>
          <w:szCs w:val="32"/>
          <w:highlight w:val="none"/>
          <w:lang w:val="en-US" w:eastAsia="zh-CN"/>
        </w:rPr>
      </w:pPr>
      <w:r>
        <w:rPr>
          <w:rFonts w:hint="eastAsia" w:ascii="仿宋_GB2312" w:hAnsi="仿宋_GB2312" w:eastAsia="仿宋_GB2312" w:cs="仿宋_GB2312"/>
          <w:sz w:val="32"/>
          <w:szCs w:val="32"/>
        </w:rPr>
        <w:t>项目过程指标，满分20.00分，评价得</w:t>
      </w:r>
      <w:r>
        <w:rPr>
          <w:rFonts w:hint="eastAsia" w:ascii="仿宋_GB2312" w:hAnsi="仿宋_GB2312" w:eastAsia="仿宋_GB2312" w:cs="仿宋_GB2312"/>
          <w:sz w:val="32"/>
          <w:szCs w:val="32"/>
          <w:highlight w:val="none"/>
        </w:rPr>
        <w:t>分为</w:t>
      </w:r>
      <w:r>
        <w:rPr>
          <w:rFonts w:hint="eastAsia" w:ascii="仿宋_GB2312" w:hAnsi="仿宋_GB2312" w:eastAsia="仿宋_GB2312" w:cs="仿宋_GB2312"/>
          <w:color w:val="auto"/>
          <w:sz w:val="32"/>
          <w:szCs w:val="32"/>
          <w:highlight w:val="none"/>
          <w:lang w:val="en-US" w:eastAsia="zh-CN"/>
        </w:rPr>
        <w:t>18.30</w:t>
      </w:r>
      <w:r>
        <w:rPr>
          <w:rFonts w:hint="eastAsia" w:ascii="仿宋_GB2312" w:hAnsi="仿宋_GB2312" w:eastAsia="仿宋_GB2312" w:cs="仿宋_GB2312"/>
          <w:bCs/>
          <w:color w:val="auto"/>
          <w:kern w:val="44"/>
          <w:sz w:val="32"/>
          <w:szCs w:val="32"/>
          <w:highlight w:val="none"/>
        </w:rPr>
        <w:t>分。</w:t>
      </w:r>
      <w:r>
        <w:rPr>
          <w:rFonts w:hint="eastAsia" w:ascii="仿宋_GB2312" w:hAnsi="仿宋_GB2312" w:cs="仿宋_GB2312"/>
          <w:bCs/>
          <w:color w:val="auto"/>
          <w:kern w:val="44"/>
          <w:sz w:val="32"/>
          <w:szCs w:val="32"/>
          <w:highlight w:val="none"/>
          <w:lang w:val="en-US" w:eastAsia="zh-CN"/>
        </w:rPr>
        <w:t>项目过程指标各指标得分情况及扣分原因见表5.</w:t>
      </w:r>
    </w:p>
    <w:p w14:paraId="717DC0F7">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default" w:ascii="仿宋_GB2312" w:hAnsi="仿宋_GB2312" w:cs="仿宋_GB2312"/>
          <w:bCs/>
          <w:color w:val="auto"/>
          <w:kern w:val="44"/>
          <w:sz w:val="32"/>
          <w:szCs w:val="32"/>
          <w:highlight w:val="none"/>
          <w:lang w:val="en-US" w:eastAsia="zh-CN"/>
        </w:rPr>
      </w:pPr>
      <w:r>
        <w:rPr>
          <w:rFonts w:hint="eastAsia" w:ascii="仿宋_GB2312" w:hAnsi="仿宋_GB2312" w:cs="仿宋_GB2312"/>
          <w:bCs/>
          <w:color w:val="auto"/>
          <w:kern w:val="44"/>
          <w:sz w:val="32"/>
          <w:szCs w:val="32"/>
          <w:highlight w:val="none"/>
          <w:lang w:val="en-US" w:eastAsia="zh-CN"/>
        </w:rPr>
        <w:t>表5.项目过程各指标得分情况表</w:t>
      </w:r>
    </w:p>
    <w:tbl>
      <w:tblPr>
        <w:tblStyle w:val="15"/>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707"/>
        <w:gridCol w:w="1861"/>
        <w:gridCol w:w="1440"/>
        <w:gridCol w:w="1520"/>
        <w:gridCol w:w="2460"/>
      </w:tblGrid>
      <w:tr w14:paraId="10FE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1F0DEBF9">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二级</w:t>
            </w:r>
          </w:p>
        </w:tc>
        <w:tc>
          <w:tcPr>
            <w:tcW w:w="1861" w:type="dxa"/>
            <w:shd w:val="clear" w:color="auto" w:fill="auto"/>
            <w:noWrap w:val="0"/>
            <w:vAlign w:val="center"/>
          </w:tcPr>
          <w:p w14:paraId="139A9086">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三级指标</w:t>
            </w:r>
          </w:p>
        </w:tc>
        <w:tc>
          <w:tcPr>
            <w:tcW w:w="1440" w:type="dxa"/>
            <w:shd w:val="clear" w:color="auto" w:fill="auto"/>
            <w:noWrap w:val="0"/>
            <w:vAlign w:val="center"/>
          </w:tcPr>
          <w:p w14:paraId="4D1F770B">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分值</w:t>
            </w:r>
          </w:p>
        </w:tc>
        <w:tc>
          <w:tcPr>
            <w:tcW w:w="1520" w:type="dxa"/>
            <w:shd w:val="clear" w:color="auto" w:fill="auto"/>
            <w:noWrap w:val="0"/>
            <w:vAlign w:val="center"/>
          </w:tcPr>
          <w:p w14:paraId="6542B38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评价得分</w:t>
            </w:r>
          </w:p>
        </w:tc>
        <w:tc>
          <w:tcPr>
            <w:tcW w:w="2460" w:type="dxa"/>
            <w:shd w:val="clear" w:color="auto" w:fill="auto"/>
            <w:noWrap w:val="0"/>
            <w:vAlign w:val="center"/>
          </w:tcPr>
          <w:p w14:paraId="6DD3A305">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扣分原因</w:t>
            </w:r>
          </w:p>
        </w:tc>
      </w:tr>
      <w:tr w14:paraId="1522C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3C678FB3">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资金管理</w:t>
            </w:r>
          </w:p>
        </w:tc>
        <w:tc>
          <w:tcPr>
            <w:tcW w:w="1861" w:type="dxa"/>
            <w:shd w:val="clear" w:color="auto" w:fill="auto"/>
            <w:noWrap w:val="0"/>
            <w:vAlign w:val="center"/>
          </w:tcPr>
          <w:p w14:paraId="4C693BC9">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资金到位率</w:t>
            </w:r>
          </w:p>
        </w:tc>
        <w:tc>
          <w:tcPr>
            <w:tcW w:w="1440" w:type="dxa"/>
            <w:shd w:val="clear" w:color="auto" w:fill="auto"/>
            <w:noWrap w:val="0"/>
            <w:vAlign w:val="center"/>
          </w:tcPr>
          <w:p w14:paraId="46C7C844">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520" w:type="dxa"/>
            <w:shd w:val="clear" w:color="auto" w:fill="auto"/>
            <w:noWrap w:val="0"/>
            <w:vAlign w:val="center"/>
          </w:tcPr>
          <w:p w14:paraId="3A26B881">
            <w:pPr>
              <w:keepNext w:val="0"/>
              <w:keepLines w:val="0"/>
              <w:widowControl/>
              <w:suppressLineNumbers w:val="0"/>
              <w:spacing w:line="560" w:lineRule="exact"/>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2460" w:type="dxa"/>
            <w:shd w:val="clear" w:color="auto" w:fill="auto"/>
            <w:noWrap w:val="0"/>
            <w:vAlign w:val="center"/>
          </w:tcPr>
          <w:p w14:paraId="0A56FDD4">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13E8D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64ACB5F9">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val="en-US" w:eastAsia="zh-CN"/>
              </w:rPr>
            </w:pPr>
          </w:p>
        </w:tc>
        <w:tc>
          <w:tcPr>
            <w:tcW w:w="1861" w:type="dxa"/>
            <w:shd w:val="clear" w:color="auto" w:fill="auto"/>
            <w:noWrap w:val="0"/>
            <w:vAlign w:val="center"/>
          </w:tcPr>
          <w:p w14:paraId="56929E4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预算执行率</w:t>
            </w:r>
          </w:p>
        </w:tc>
        <w:tc>
          <w:tcPr>
            <w:tcW w:w="1440" w:type="dxa"/>
            <w:shd w:val="clear" w:color="auto" w:fill="auto"/>
            <w:noWrap w:val="0"/>
            <w:vAlign w:val="center"/>
          </w:tcPr>
          <w:p w14:paraId="263A5E6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w:t>
            </w:r>
          </w:p>
        </w:tc>
        <w:tc>
          <w:tcPr>
            <w:tcW w:w="1520" w:type="dxa"/>
            <w:shd w:val="clear" w:color="auto" w:fill="auto"/>
            <w:noWrap w:val="0"/>
            <w:vAlign w:val="center"/>
          </w:tcPr>
          <w:p w14:paraId="77D59845">
            <w:pPr>
              <w:keepNext w:val="0"/>
              <w:keepLines w:val="0"/>
              <w:widowControl/>
              <w:suppressLineNumbers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2460" w:type="dxa"/>
            <w:shd w:val="clear" w:color="auto" w:fill="auto"/>
            <w:noWrap w:val="0"/>
            <w:vAlign w:val="center"/>
          </w:tcPr>
          <w:p w14:paraId="28767B98">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708C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2398E4E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eastAsia="zh-CN"/>
              </w:rPr>
            </w:pPr>
          </w:p>
        </w:tc>
        <w:tc>
          <w:tcPr>
            <w:tcW w:w="1861" w:type="dxa"/>
            <w:shd w:val="clear" w:color="auto" w:fill="auto"/>
            <w:noWrap w:val="0"/>
            <w:vAlign w:val="center"/>
          </w:tcPr>
          <w:p w14:paraId="5F7D5794">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资金使用合规性</w:t>
            </w:r>
          </w:p>
        </w:tc>
        <w:tc>
          <w:tcPr>
            <w:tcW w:w="1440" w:type="dxa"/>
            <w:shd w:val="clear" w:color="auto" w:fill="auto"/>
            <w:noWrap w:val="0"/>
            <w:vAlign w:val="center"/>
          </w:tcPr>
          <w:p w14:paraId="39C9A347">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w:t>
            </w:r>
          </w:p>
        </w:tc>
        <w:tc>
          <w:tcPr>
            <w:tcW w:w="1520" w:type="dxa"/>
            <w:shd w:val="clear" w:color="auto" w:fill="auto"/>
            <w:noWrap w:val="0"/>
            <w:vAlign w:val="center"/>
          </w:tcPr>
          <w:p w14:paraId="2D169D1E">
            <w:pPr>
              <w:keepNext w:val="0"/>
              <w:keepLines w:val="0"/>
              <w:widowControl/>
              <w:suppressLineNumbers w:val="0"/>
              <w:spacing w:line="560" w:lineRule="exact"/>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4"/>
                <w:szCs w:val="24"/>
                <w:u w:val="none"/>
                <w:lang w:val="en-US" w:eastAsia="zh-CN" w:bidi="ar"/>
              </w:rPr>
              <w:t>3</w:t>
            </w:r>
          </w:p>
        </w:tc>
        <w:tc>
          <w:tcPr>
            <w:tcW w:w="2460" w:type="dxa"/>
            <w:shd w:val="clear" w:color="auto" w:fill="auto"/>
            <w:noWrap w:val="0"/>
            <w:vAlign w:val="center"/>
          </w:tcPr>
          <w:p w14:paraId="4466DDB3">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r w14:paraId="66ED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756D12BE">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组织实施</w:t>
            </w:r>
          </w:p>
        </w:tc>
        <w:tc>
          <w:tcPr>
            <w:tcW w:w="1861" w:type="dxa"/>
            <w:shd w:val="clear" w:color="auto" w:fill="auto"/>
            <w:noWrap w:val="0"/>
            <w:vAlign w:val="center"/>
          </w:tcPr>
          <w:p w14:paraId="378381ED">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管理制度健全性</w:t>
            </w:r>
          </w:p>
        </w:tc>
        <w:tc>
          <w:tcPr>
            <w:tcW w:w="1440" w:type="dxa"/>
            <w:shd w:val="clear" w:color="auto" w:fill="auto"/>
            <w:noWrap w:val="0"/>
            <w:vAlign w:val="center"/>
          </w:tcPr>
          <w:p w14:paraId="3E51402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w:t>
            </w:r>
          </w:p>
        </w:tc>
        <w:tc>
          <w:tcPr>
            <w:tcW w:w="1520" w:type="dxa"/>
            <w:shd w:val="clear" w:color="auto" w:fill="auto"/>
            <w:noWrap w:val="0"/>
            <w:vAlign w:val="center"/>
          </w:tcPr>
          <w:p w14:paraId="30CF5B1F">
            <w:pPr>
              <w:keepNext w:val="0"/>
              <w:keepLines w:val="0"/>
              <w:widowControl/>
              <w:suppressLineNumbers w:val="0"/>
              <w:spacing w:line="560" w:lineRule="exact"/>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4"/>
                <w:szCs w:val="24"/>
                <w:u w:val="none"/>
                <w:lang w:val="en-US" w:eastAsia="zh-CN" w:bidi="ar"/>
              </w:rPr>
              <w:t>4.2</w:t>
            </w:r>
          </w:p>
        </w:tc>
        <w:tc>
          <w:tcPr>
            <w:tcW w:w="2460" w:type="dxa"/>
            <w:shd w:val="clear" w:color="auto" w:fill="auto"/>
            <w:noWrap w:val="0"/>
            <w:vAlign w:val="center"/>
          </w:tcPr>
          <w:p w14:paraId="5E9F50DA">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仍需进一步加强对宣传片拍摄类业务制度的约束</w:t>
            </w:r>
          </w:p>
        </w:tc>
      </w:tr>
      <w:tr w14:paraId="5DCB8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04C849EE">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仿宋" w:hAnsi="仿宋" w:eastAsia="仿宋" w:cs="仿宋"/>
                <w:b w:val="0"/>
                <w:bCs/>
                <w:sz w:val="24"/>
                <w:szCs w:val="24"/>
                <w:highlight w:val="none"/>
                <w:lang w:val="en-US" w:eastAsia="zh-CN"/>
              </w:rPr>
            </w:pPr>
          </w:p>
        </w:tc>
        <w:tc>
          <w:tcPr>
            <w:tcW w:w="1861" w:type="dxa"/>
            <w:shd w:val="clear" w:color="auto" w:fill="auto"/>
            <w:noWrap w:val="0"/>
            <w:vAlign w:val="center"/>
          </w:tcPr>
          <w:p w14:paraId="6F5614B5">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制度执行有效性</w:t>
            </w:r>
          </w:p>
        </w:tc>
        <w:tc>
          <w:tcPr>
            <w:tcW w:w="1440" w:type="dxa"/>
            <w:shd w:val="clear" w:color="auto" w:fill="auto"/>
            <w:noWrap w:val="0"/>
            <w:vAlign w:val="center"/>
          </w:tcPr>
          <w:p w14:paraId="454735AA">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w:t>
            </w:r>
          </w:p>
        </w:tc>
        <w:tc>
          <w:tcPr>
            <w:tcW w:w="1520" w:type="dxa"/>
            <w:shd w:val="clear" w:color="auto" w:fill="auto"/>
            <w:noWrap w:val="0"/>
            <w:vAlign w:val="center"/>
          </w:tcPr>
          <w:p w14:paraId="28341E46">
            <w:pPr>
              <w:keepNext w:val="0"/>
              <w:keepLines w:val="0"/>
              <w:widowControl/>
              <w:suppressLineNumbers w:val="0"/>
              <w:spacing w:line="560" w:lineRule="exact"/>
              <w:jc w:val="center"/>
              <w:textAlignment w:val="center"/>
              <w:rPr>
                <w:rFonts w:hint="default" w:ascii="仿宋" w:hAnsi="仿宋" w:eastAsia="仿宋" w:cs="仿宋"/>
                <w:b w:val="0"/>
                <w:bCs/>
                <w:sz w:val="24"/>
                <w:szCs w:val="24"/>
                <w:highlight w:val="none"/>
                <w:lang w:val="en-US" w:eastAsia="zh-CN"/>
              </w:rPr>
            </w:pPr>
            <w:r>
              <w:rPr>
                <w:rFonts w:hint="eastAsia" w:ascii="宋体" w:hAnsi="宋体" w:eastAsia="宋体" w:cs="宋体"/>
                <w:i w:val="0"/>
                <w:iCs w:val="0"/>
                <w:color w:val="000000"/>
                <w:kern w:val="0"/>
                <w:sz w:val="24"/>
                <w:szCs w:val="24"/>
                <w:u w:val="none"/>
                <w:lang w:val="en-US" w:eastAsia="zh-CN" w:bidi="ar"/>
              </w:rPr>
              <w:t>4.1</w:t>
            </w:r>
          </w:p>
        </w:tc>
        <w:tc>
          <w:tcPr>
            <w:tcW w:w="2460" w:type="dxa"/>
            <w:shd w:val="clear" w:color="auto" w:fill="auto"/>
            <w:noWrap w:val="0"/>
            <w:vAlign w:val="center"/>
          </w:tcPr>
          <w:p w14:paraId="6EB577AE">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项目延期履约只有供应商的延期说明，未体现业务管理的约束性</w:t>
            </w:r>
          </w:p>
        </w:tc>
      </w:tr>
      <w:tr w14:paraId="237B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9" w:hRule="atLeast"/>
          <w:jc w:val="center"/>
        </w:trPr>
        <w:tc>
          <w:tcPr>
            <w:tcW w:w="3568" w:type="dxa"/>
            <w:gridSpan w:val="2"/>
            <w:shd w:val="clear" w:color="auto" w:fill="auto"/>
            <w:noWrap w:val="0"/>
            <w:vAlign w:val="center"/>
          </w:tcPr>
          <w:p w14:paraId="61BA7F60">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项目过程</w:t>
            </w:r>
          </w:p>
        </w:tc>
        <w:tc>
          <w:tcPr>
            <w:tcW w:w="1440" w:type="dxa"/>
            <w:shd w:val="clear" w:color="auto" w:fill="auto"/>
            <w:noWrap w:val="0"/>
            <w:vAlign w:val="center"/>
          </w:tcPr>
          <w:p w14:paraId="759C162A">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20</w:t>
            </w:r>
          </w:p>
        </w:tc>
        <w:tc>
          <w:tcPr>
            <w:tcW w:w="1520" w:type="dxa"/>
            <w:shd w:val="clear" w:color="auto" w:fill="auto"/>
            <w:noWrap w:val="0"/>
            <w:vAlign w:val="center"/>
          </w:tcPr>
          <w:p w14:paraId="24925F9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18.30</w:t>
            </w:r>
          </w:p>
        </w:tc>
        <w:tc>
          <w:tcPr>
            <w:tcW w:w="2460" w:type="dxa"/>
            <w:shd w:val="clear" w:color="auto" w:fill="auto"/>
            <w:noWrap w:val="0"/>
            <w:vAlign w:val="center"/>
          </w:tcPr>
          <w:p w14:paraId="4C0069CE">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仿宋" w:hAnsi="仿宋" w:eastAsia="仿宋" w:cs="仿宋"/>
                <w:b w:val="0"/>
                <w:bCs/>
                <w:sz w:val="24"/>
                <w:szCs w:val="24"/>
                <w:highlight w:val="none"/>
                <w:lang w:val="en-US" w:eastAsia="zh-CN"/>
              </w:rPr>
            </w:pPr>
          </w:p>
        </w:tc>
      </w:tr>
    </w:tbl>
    <w:p w14:paraId="5BC733BE">
      <w:pPr>
        <w:pStyle w:val="14"/>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default" w:ascii="仿宋_GB2312" w:hAnsi="仿宋_GB2312" w:eastAsia="仿宋_GB2312" w:cs="仿宋_GB2312"/>
          <w:b/>
          <w:bCs/>
          <w:color w:val="auto"/>
          <w:kern w:val="44"/>
          <w:sz w:val="32"/>
          <w:szCs w:val="32"/>
          <w:lang w:val="en-US" w:eastAsia="zh-CN"/>
        </w:rPr>
      </w:pPr>
    </w:p>
    <w:p w14:paraId="207B452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default" w:ascii="仿宋_GB2312" w:hAnsi="仿宋_GB2312" w:eastAsia="仿宋_GB2312" w:cs="仿宋_GB2312"/>
          <w:b/>
          <w:bCs/>
          <w:color w:val="auto"/>
          <w:kern w:val="44"/>
          <w:sz w:val="32"/>
          <w:szCs w:val="32"/>
          <w:lang w:val="en-US" w:eastAsia="zh-CN"/>
        </w:rPr>
        <w:t>1.</w:t>
      </w:r>
      <w:r>
        <w:rPr>
          <w:rFonts w:hint="eastAsia" w:ascii="仿宋_GB2312" w:hAnsi="仿宋_GB2312" w:eastAsia="仿宋_GB2312" w:cs="仿宋_GB2312"/>
          <w:b/>
          <w:bCs/>
          <w:color w:val="auto"/>
          <w:kern w:val="44"/>
          <w:sz w:val="32"/>
          <w:szCs w:val="32"/>
          <w:lang w:val="en-US" w:eastAsia="zh-CN"/>
        </w:rPr>
        <w:t xml:space="preserve">资金管理 </w:t>
      </w:r>
    </w:p>
    <w:p w14:paraId="7343AAD3">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1</w:t>
      </w:r>
      <w:r>
        <w:rPr>
          <w:rFonts w:hint="eastAsia" w:ascii="仿宋_GB2312" w:hAnsi="宋体" w:eastAsia="仿宋_GB2312" w:cs="仿宋_GB2312"/>
          <w:color w:val="000000"/>
          <w:kern w:val="0"/>
          <w:sz w:val="32"/>
          <w:szCs w:val="32"/>
          <w:lang w:val="en-US" w:eastAsia="zh-CN" w:bidi="ar"/>
        </w:rPr>
        <w:t>）资金到位率</w:t>
      </w:r>
    </w:p>
    <w:p w14:paraId="78B04E58">
      <w:pPr>
        <w:pStyle w:val="1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b w:val="0"/>
          <w:bCs w:val="0"/>
          <w:kern w:val="1"/>
          <w:sz w:val="32"/>
          <w:szCs w:val="32"/>
          <w:lang w:val="en-US" w:eastAsia="zh-CN" w:bidi="ar-SA"/>
        </w:rPr>
        <w:t>该项目的资金到位率为=（实际到位资金/预算资金）×100%=（146.32万元/146.32万元）×100%=100%。</w:t>
      </w:r>
    </w:p>
    <w:p w14:paraId="3D7645CD">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sz w:val="32"/>
          <w:szCs w:val="32"/>
        </w:rPr>
      </w:pPr>
      <w:r>
        <w:rPr>
          <w:rFonts w:ascii="仿宋_GB2312" w:hAnsi="宋体" w:eastAsia="仿宋_GB2312" w:cs="仿宋_GB2312"/>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2</w:t>
      </w:r>
      <w:r>
        <w:rPr>
          <w:rFonts w:hint="eastAsia" w:ascii="仿宋_GB2312" w:hAnsi="宋体" w:eastAsia="仿宋_GB2312" w:cs="仿宋_GB2312"/>
          <w:color w:val="000000"/>
          <w:kern w:val="0"/>
          <w:sz w:val="32"/>
          <w:szCs w:val="32"/>
          <w:lang w:val="en-US" w:eastAsia="zh-CN" w:bidi="ar"/>
        </w:rPr>
        <w:t>）预算执行率</w:t>
      </w:r>
    </w:p>
    <w:p w14:paraId="6942CCF7">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b w:val="0"/>
          <w:bCs w:val="0"/>
          <w:kern w:val="1"/>
          <w:sz w:val="32"/>
          <w:szCs w:val="32"/>
          <w:lang w:val="en-US" w:eastAsia="zh-CN" w:bidi="ar-SA"/>
        </w:rPr>
        <w:t xml:space="preserve"> 该项目的预算执行率=（实际支出资金/实际到位资金）×100%=（</w:t>
      </w:r>
      <w:r>
        <w:rPr>
          <w:rFonts w:hint="eastAsia" w:ascii="仿宋_GB2312" w:hAnsi="仿宋_GB2312" w:cs="仿宋_GB2312"/>
          <w:b w:val="0"/>
          <w:bCs w:val="0"/>
          <w:kern w:val="1"/>
          <w:sz w:val="32"/>
          <w:szCs w:val="32"/>
          <w:lang w:val="en-US" w:eastAsia="zh-CN" w:bidi="ar-SA"/>
        </w:rPr>
        <w:t>146.32</w:t>
      </w:r>
      <w:r>
        <w:rPr>
          <w:rFonts w:hint="eastAsia" w:ascii="仿宋_GB2312" w:hAnsi="仿宋_GB2312" w:eastAsia="仿宋_GB2312" w:cs="仿宋_GB2312"/>
          <w:b w:val="0"/>
          <w:bCs w:val="0"/>
          <w:kern w:val="1"/>
          <w:sz w:val="32"/>
          <w:szCs w:val="32"/>
          <w:lang w:val="en-US" w:eastAsia="zh-CN" w:bidi="ar-SA"/>
        </w:rPr>
        <w:t>万元/</w:t>
      </w:r>
      <w:r>
        <w:rPr>
          <w:rFonts w:hint="eastAsia" w:ascii="仿宋_GB2312" w:hAnsi="仿宋_GB2312" w:cs="仿宋_GB2312"/>
          <w:b w:val="0"/>
          <w:bCs w:val="0"/>
          <w:kern w:val="1"/>
          <w:sz w:val="32"/>
          <w:szCs w:val="32"/>
          <w:lang w:val="en-US" w:eastAsia="zh-CN" w:bidi="ar-SA"/>
        </w:rPr>
        <w:t>146.32</w:t>
      </w:r>
      <w:r>
        <w:rPr>
          <w:rFonts w:hint="eastAsia" w:ascii="仿宋_GB2312" w:hAnsi="仿宋_GB2312" w:eastAsia="仿宋_GB2312" w:cs="仿宋_GB2312"/>
          <w:b w:val="0"/>
          <w:bCs w:val="0"/>
          <w:kern w:val="1"/>
          <w:sz w:val="32"/>
          <w:szCs w:val="32"/>
          <w:lang w:val="en-US" w:eastAsia="zh-CN" w:bidi="ar-SA"/>
        </w:rPr>
        <w:t>万元）×100%=</w:t>
      </w:r>
      <w:r>
        <w:rPr>
          <w:rFonts w:hint="eastAsia" w:ascii="仿宋_GB2312" w:hAnsi="仿宋_GB2312" w:cs="仿宋_GB2312"/>
          <w:b w:val="0"/>
          <w:bCs w:val="0"/>
          <w:kern w:val="1"/>
          <w:sz w:val="32"/>
          <w:szCs w:val="32"/>
          <w:lang w:val="en-US" w:eastAsia="zh-CN" w:bidi="ar-SA"/>
        </w:rPr>
        <w:t>100</w:t>
      </w:r>
      <w:r>
        <w:rPr>
          <w:rFonts w:hint="eastAsia" w:ascii="仿宋_GB2312" w:hAnsi="仿宋_GB2312" w:eastAsia="仿宋_GB2312" w:cs="仿宋_GB2312"/>
          <w:b w:val="0"/>
          <w:bCs w:val="0"/>
          <w:kern w:val="1"/>
          <w:sz w:val="32"/>
          <w:szCs w:val="32"/>
          <w:lang w:val="en-US" w:eastAsia="zh-CN" w:bidi="ar-SA"/>
        </w:rPr>
        <w:t>%。</w:t>
      </w:r>
    </w:p>
    <w:p w14:paraId="0861F6D6">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sz w:val="32"/>
          <w:szCs w:val="32"/>
        </w:rPr>
      </w:pPr>
      <w:r>
        <w:rPr>
          <w:rFonts w:ascii="仿宋_GB2312" w:hAnsi="宋体" w:eastAsia="仿宋_GB2312" w:cs="仿宋_GB2312"/>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3</w:t>
      </w:r>
      <w:r>
        <w:rPr>
          <w:rFonts w:hint="eastAsia" w:ascii="仿宋_GB2312" w:hAnsi="宋体" w:eastAsia="仿宋_GB2312" w:cs="仿宋_GB2312"/>
          <w:color w:val="000000"/>
          <w:kern w:val="0"/>
          <w:sz w:val="32"/>
          <w:szCs w:val="32"/>
          <w:lang w:val="en-US" w:eastAsia="zh-CN" w:bidi="ar"/>
        </w:rPr>
        <w:t>）资金使用合规性</w:t>
      </w:r>
    </w:p>
    <w:p w14:paraId="160747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cs="仿宋_GB2312"/>
          <w:b w:val="0"/>
          <w:bCs w:val="0"/>
          <w:kern w:val="1"/>
          <w:sz w:val="32"/>
          <w:szCs w:val="32"/>
          <w:highlight w:val="none"/>
          <w:lang w:val="en-US" w:eastAsia="zh-CN" w:bidi="ar-SA"/>
        </w:rPr>
      </w:pPr>
      <w:r>
        <w:rPr>
          <w:rFonts w:hint="eastAsia" w:ascii="仿宋_GB2312" w:hAnsi="仿宋_GB2312" w:cs="仿宋_GB2312"/>
          <w:b w:val="0"/>
          <w:bCs w:val="0"/>
          <w:kern w:val="1"/>
          <w:sz w:val="32"/>
          <w:szCs w:val="32"/>
          <w:highlight w:val="none"/>
          <w:lang w:val="en-US" w:eastAsia="zh-CN" w:bidi="ar-SA"/>
        </w:rPr>
        <w:t>2023年4月，市投资促进中心</w:t>
      </w:r>
      <w:r>
        <w:rPr>
          <w:rFonts w:hint="eastAsia" w:ascii="仿宋_GB2312" w:hAnsi="仿宋_GB2312" w:eastAsia="仿宋_GB2312" w:cs="仿宋_GB2312"/>
          <w:b w:val="0"/>
          <w:bCs w:val="0"/>
          <w:kern w:val="1"/>
          <w:sz w:val="32"/>
          <w:szCs w:val="32"/>
          <w:highlight w:val="none"/>
          <w:lang w:val="en-US" w:eastAsia="zh-CN" w:bidi="ar-SA"/>
        </w:rPr>
        <w:t>通过</w:t>
      </w:r>
      <w:r>
        <w:rPr>
          <w:rFonts w:hint="eastAsia" w:ascii="仿宋_GB2312" w:hAnsi="仿宋_GB2312" w:cs="仿宋_GB2312"/>
          <w:b w:val="0"/>
          <w:bCs w:val="0"/>
          <w:kern w:val="1"/>
          <w:sz w:val="32"/>
          <w:szCs w:val="32"/>
          <w:highlight w:val="none"/>
          <w:lang w:val="en-US" w:eastAsia="zh-CN" w:bidi="ar-SA"/>
        </w:rPr>
        <w:t>政府采购</w:t>
      </w:r>
      <w:r>
        <w:rPr>
          <w:rFonts w:hint="eastAsia" w:ascii="仿宋_GB2312" w:hAnsi="仿宋_GB2312" w:eastAsia="仿宋_GB2312" w:cs="仿宋_GB2312"/>
          <w:b w:val="0"/>
          <w:bCs w:val="0"/>
          <w:kern w:val="1"/>
          <w:sz w:val="32"/>
          <w:szCs w:val="32"/>
          <w:highlight w:val="none"/>
          <w:lang w:val="en-US" w:eastAsia="zh-CN" w:bidi="ar-SA"/>
        </w:rPr>
        <w:t>竞争性磋商的方式</w:t>
      </w:r>
      <w:r>
        <w:rPr>
          <w:rFonts w:hint="eastAsia" w:ascii="仿宋_GB2312" w:hAnsi="仿宋_GB2312" w:cs="仿宋_GB2312"/>
          <w:b w:val="0"/>
          <w:bCs w:val="0"/>
          <w:kern w:val="1"/>
          <w:sz w:val="32"/>
          <w:szCs w:val="32"/>
          <w:highlight w:val="none"/>
          <w:lang w:val="en-US" w:eastAsia="zh-CN" w:bidi="ar-SA"/>
        </w:rPr>
        <w:t>确认供应商北京鼎晟成达文化传媒有限公司，该项目合同经北京市尚公律师事务所合同审查出具了法律意见书，通过合同审批表等程序后签署了该项目合同，符合《北京市投资促进服务中心合同管理办法》。</w:t>
      </w:r>
    </w:p>
    <w:p w14:paraId="4B8894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b w:val="0"/>
          <w:bCs w:val="0"/>
          <w:kern w:val="1"/>
          <w:sz w:val="32"/>
          <w:szCs w:val="32"/>
          <w:highlight w:val="none"/>
          <w:lang w:val="en-US" w:eastAsia="zh-CN" w:bidi="ar-SA"/>
        </w:rPr>
      </w:pPr>
      <w:r>
        <w:rPr>
          <w:rFonts w:hint="eastAsia" w:ascii="仿宋_GB2312" w:hAnsi="仿宋_GB2312" w:cs="仿宋_GB2312"/>
          <w:b w:val="0"/>
          <w:bCs w:val="0"/>
          <w:kern w:val="1"/>
          <w:sz w:val="32"/>
          <w:szCs w:val="32"/>
          <w:highlight w:val="none"/>
          <w:lang w:val="en-US" w:eastAsia="zh-CN" w:bidi="ar-SA"/>
        </w:rPr>
        <w:t>该项目资金</w:t>
      </w:r>
      <w:r>
        <w:rPr>
          <w:rFonts w:hint="eastAsia" w:ascii="仿宋_GB2312" w:hAnsi="仿宋_GB2312" w:eastAsia="仿宋_GB2312" w:cs="仿宋_GB2312"/>
          <w:b w:val="0"/>
          <w:bCs w:val="0"/>
          <w:kern w:val="1"/>
          <w:sz w:val="32"/>
          <w:szCs w:val="32"/>
          <w:highlight w:val="none"/>
          <w:lang w:val="en-US" w:eastAsia="zh-CN" w:bidi="ar-SA"/>
        </w:rPr>
        <w:t>全部用于宣传片拍摄</w:t>
      </w:r>
      <w:r>
        <w:rPr>
          <w:rFonts w:hint="eastAsia" w:ascii="仿宋_GB2312" w:hAnsi="仿宋_GB2312" w:cs="仿宋_GB2312"/>
          <w:b w:val="0"/>
          <w:bCs w:val="0"/>
          <w:kern w:val="1"/>
          <w:sz w:val="32"/>
          <w:szCs w:val="32"/>
          <w:highlight w:val="none"/>
          <w:lang w:val="en-US" w:eastAsia="zh-CN" w:bidi="ar-SA"/>
        </w:rPr>
        <w:t>，主要用于</w:t>
      </w:r>
      <w:r>
        <w:rPr>
          <w:rFonts w:hint="eastAsia" w:ascii="仿宋_GB2312" w:hAnsi="仿宋_GB2312" w:eastAsia="仿宋_GB2312" w:cs="仿宋_GB2312"/>
          <w:b w:val="0"/>
          <w:bCs w:val="0"/>
          <w:kern w:val="1"/>
          <w:sz w:val="32"/>
          <w:szCs w:val="32"/>
          <w:highlight w:val="none"/>
          <w:lang w:val="en-US" w:eastAsia="zh-CN" w:bidi="ar-SA"/>
        </w:rPr>
        <w:t>委托供应商进行前期策划、撰稿、摄影器材租借、灯光器材租借、</w:t>
      </w:r>
      <w:r>
        <w:rPr>
          <w:rFonts w:hint="eastAsia" w:ascii="仿宋_GB2312" w:hAnsi="仿宋_GB2312" w:cs="仿宋_GB2312"/>
          <w:b w:val="0"/>
          <w:bCs w:val="0"/>
          <w:kern w:val="1"/>
          <w:sz w:val="32"/>
          <w:szCs w:val="32"/>
          <w:highlight w:val="none"/>
          <w:lang w:val="en-US" w:eastAsia="zh-CN" w:bidi="ar-SA"/>
        </w:rPr>
        <w:t>制作团队</w:t>
      </w:r>
      <w:r>
        <w:rPr>
          <w:rFonts w:hint="eastAsia" w:ascii="仿宋_GB2312" w:hAnsi="仿宋_GB2312" w:eastAsia="仿宋_GB2312" w:cs="仿宋_GB2312"/>
          <w:b w:val="0"/>
          <w:bCs w:val="0"/>
          <w:kern w:val="1"/>
          <w:sz w:val="32"/>
          <w:szCs w:val="32"/>
          <w:highlight w:val="none"/>
          <w:lang w:val="en-US" w:eastAsia="zh-CN" w:bidi="ar-SA"/>
        </w:rPr>
        <w:t>、后期剪辑等方面</w:t>
      </w:r>
      <w:r>
        <w:rPr>
          <w:rFonts w:hint="eastAsia" w:ascii="仿宋_GB2312" w:hAnsi="仿宋_GB2312" w:cs="仿宋_GB2312"/>
          <w:b w:val="0"/>
          <w:bCs w:val="0"/>
          <w:kern w:val="1"/>
          <w:sz w:val="32"/>
          <w:szCs w:val="32"/>
          <w:highlight w:val="none"/>
          <w:lang w:val="en-US" w:eastAsia="zh-CN" w:bidi="ar-SA"/>
        </w:rPr>
        <w:t>的支出。支出符合《北京市投资促进服务中心预算管理办法》《北京市投资促进服务中心项目预算管理办法》及《北京市投资促进服务中心资金支出管理办法》。</w:t>
      </w:r>
      <w:r>
        <w:rPr>
          <w:rFonts w:hint="default" w:ascii="仿宋_GB2312" w:hAnsi="仿宋_GB2312" w:eastAsia="仿宋_GB2312" w:cs="仿宋_GB2312"/>
          <w:b w:val="0"/>
          <w:bCs w:val="0"/>
          <w:kern w:val="1"/>
          <w:sz w:val="32"/>
          <w:szCs w:val="32"/>
          <w:highlight w:val="none"/>
          <w:lang w:val="en-US" w:eastAsia="zh-CN" w:bidi="ar-SA"/>
        </w:rPr>
        <w:t>项目进行了独立核算，按照</w:t>
      </w:r>
      <w:r>
        <w:rPr>
          <w:rFonts w:hint="eastAsia" w:ascii="仿宋_GB2312" w:hAnsi="仿宋_GB2312" w:cs="仿宋_GB2312"/>
          <w:b w:val="0"/>
          <w:bCs w:val="0"/>
          <w:kern w:val="1"/>
          <w:sz w:val="32"/>
          <w:szCs w:val="32"/>
          <w:highlight w:val="none"/>
          <w:lang w:val="en-US" w:eastAsia="zh-CN" w:bidi="ar-SA"/>
        </w:rPr>
        <w:t>项目</w:t>
      </w:r>
      <w:r>
        <w:rPr>
          <w:rFonts w:hint="eastAsia" w:ascii="仿宋_GB2312" w:hAnsi="仿宋_GB2312" w:eastAsia="仿宋_GB2312" w:cs="仿宋_GB2312"/>
          <w:b w:val="0"/>
          <w:bCs w:val="0"/>
          <w:kern w:val="1"/>
          <w:sz w:val="32"/>
          <w:szCs w:val="32"/>
          <w:highlight w:val="none"/>
          <w:lang w:val="en-US" w:eastAsia="zh-CN" w:bidi="ar-SA"/>
        </w:rPr>
        <w:t>合同约定，</w:t>
      </w:r>
      <w:r>
        <w:rPr>
          <w:rFonts w:hint="eastAsia" w:ascii="仿宋_GB2312" w:hAnsi="仿宋_GB2312" w:cs="仿宋_GB2312"/>
          <w:b w:val="0"/>
          <w:bCs w:val="0"/>
          <w:kern w:val="1"/>
          <w:sz w:val="32"/>
          <w:szCs w:val="32"/>
          <w:highlight w:val="none"/>
          <w:lang w:val="en-US" w:eastAsia="zh-CN" w:bidi="ar-SA"/>
        </w:rPr>
        <w:t>分两次</w:t>
      </w:r>
      <w:r>
        <w:rPr>
          <w:rFonts w:hint="default" w:ascii="仿宋_GB2312" w:hAnsi="仿宋_GB2312" w:eastAsia="仿宋_GB2312" w:cs="仿宋_GB2312"/>
          <w:b w:val="0"/>
          <w:bCs w:val="0"/>
          <w:kern w:val="1"/>
          <w:sz w:val="32"/>
          <w:szCs w:val="32"/>
          <w:highlight w:val="none"/>
          <w:lang w:val="en-US" w:eastAsia="zh-CN" w:bidi="ar-SA"/>
        </w:rPr>
        <w:t>支付</w:t>
      </w:r>
      <w:r>
        <w:rPr>
          <w:rFonts w:hint="eastAsia" w:ascii="仿宋_GB2312" w:hAnsi="仿宋_GB2312" w:cs="仿宋_GB2312"/>
          <w:b w:val="0"/>
          <w:bCs w:val="0"/>
          <w:kern w:val="1"/>
          <w:sz w:val="32"/>
          <w:szCs w:val="32"/>
          <w:highlight w:val="none"/>
          <w:lang w:val="en-US" w:eastAsia="zh-CN" w:bidi="ar-SA"/>
        </w:rPr>
        <w:t>委托</w:t>
      </w:r>
      <w:r>
        <w:rPr>
          <w:rFonts w:hint="default" w:ascii="仿宋_GB2312" w:hAnsi="仿宋_GB2312" w:eastAsia="仿宋_GB2312" w:cs="仿宋_GB2312"/>
          <w:b w:val="0"/>
          <w:bCs w:val="0"/>
          <w:kern w:val="1"/>
          <w:sz w:val="32"/>
          <w:szCs w:val="32"/>
          <w:highlight w:val="none"/>
          <w:lang w:val="en-US" w:eastAsia="zh-CN" w:bidi="ar-SA"/>
        </w:rPr>
        <w:t>费用，每笔支出均有完整的审批程序</w:t>
      </w:r>
      <w:r>
        <w:rPr>
          <w:rFonts w:hint="eastAsia" w:ascii="仿宋_GB2312" w:hAnsi="仿宋_GB2312" w:cs="仿宋_GB2312"/>
          <w:b w:val="0"/>
          <w:bCs w:val="0"/>
          <w:kern w:val="1"/>
          <w:sz w:val="32"/>
          <w:szCs w:val="32"/>
          <w:highlight w:val="none"/>
          <w:lang w:val="en-US" w:eastAsia="zh-CN" w:bidi="ar-SA"/>
        </w:rPr>
        <w:t>，</w:t>
      </w:r>
      <w:r>
        <w:rPr>
          <w:rFonts w:hint="default" w:ascii="仿宋_GB2312" w:hAnsi="仿宋_GB2312" w:eastAsia="仿宋_GB2312" w:cs="仿宋_GB2312"/>
          <w:b w:val="0"/>
          <w:bCs w:val="0"/>
          <w:kern w:val="1"/>
          <w:sz w:val="32"/>
          <w:szCs w:val="32"/>
          <w:highlight w:val="none"/>
          <w:lang w:val="en-US" w:eastAsia="zh-CN" w:bidi="ar-SA"/>
        </w:rPr>
        <w:t>经过了</w:t>
      </w:r>
      <w:r>
        <w:rPr>
          <w:rFonts w:hint="eastAsia" w:ascii="仿宋_GB2312" w:hAnsi="仿宋_GB2312" w:cs="仿宋_GB2312"/>
          <w:b w:val="0"/>
          <w:bCs w:val="0"/>
          <w:kern w:val="1"/>
          <w:sz w:val="32"/>
          <w:szCs w:val="32"/>
          <w:highlight w:val="none"/>
          <w:lang w:val="en-US" w:eastAsia="zh-CN" w:bidi="ar-SA"/>
        </w:rPr>
        <w:t>中心党组会审议通过后按程序进行支付，</w:t>
      </w:r>
      <w:r>
        <w:rPr>
          <w:rFonts w:hint="default" w:ascii="仿宋_GB2312" w:hAnsi="仿宋_GB2312" w:eastAsia="仿宋_GB2312" w:cs="仿宋_GB2312"/>
          <w:b w:val="0"/>
          <w:bCs w:val="0"/>
          <w:kern w:val="1"/>
          <w:sz w:val="32"/>
          <w:szCs w:val="32"/>
          <w:highlight w:val="none"/>
          <w:lang w:val="en-US" w:eastAsia="zh-CN" w:bidi="ar-SA"/>
        </w:rPr>
        <w:t>财务数据真实、准确。项目资金</w:t>
      </w:r>
      <w:r>
        <w:rPr>
          <w:rFonts w:hint="eastAsia" w:ascii="仿宋_GB2312" w:hAnsi="仿宋_GB2312" w:cs="仿宋_GB2312"/>
          <w:b w:val="0"/>
          <w:bCs w:val="0"/>
          <w:kern w:val="1"/>
          <w:sz w:val="32"/>
          <w:szCs w:val="32"/>
          <w:highlight w:val="none"/>
          <w:lang w:val="en-US" w:eastAsia="zh-CN" w:bidi="ar-SA"/>
        </w:rPr>
        <w:t>。</w:t>
      </w:r>
      <w:r>
        <w:rPr>
          <w:rFonts w:hint="eastAsia" w:ascii="仿宋_GB2312" w:hAnsi="仿宋_GB2312" w:cs="仿宋_GB2312"/>
          <w:b/>
          <w:bCs/>
          <w:kern w:val="1"/>
          <w:sz w:val="32"/>
          <w:szCs w:val="32"/>
          <w:highlight w:val="none"/>
          <w:lang w:val="en-US" w:eastAsia="zh-CN" w:bidi="ar-SA"/>
        </w:rPr>
        <w:t>评价认为</w:t>
      </w:r>
      <w:r>
        <w:rPr>
          <w:rFonts w:hint="eastAsia" w:ascii="仿宋_GB2312" w:hAnsi="仿宋_GB2312" w:cs="仿宋_GB2312"/>
          <w:b w:val="0"/>
          <w:bCs w:val="0"/>
          <w:kern w:val="1"/>
          <w:sz w:val="32"/>
          <w:szCs w:val="32"/>
          <w:highlight w:val="none"/>
          <w:lang w:val="en-US" w:eastAsia="zh-CN" w:bidi="ar-SA"/>
        </w:rPr>
        <w:t>，该项目资金管理制度较为健全，支出流程较为规范清晰。</w:t>
      </w:r>
    </w:p>
    <w:p w14:paraId="1318D69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default" w:ascii="仿宋_GB2312" w:hAnsi="仿宋_GB2312" w:eastAsia="仿宋_GB2312" w:cs="仿宋_GB2312"/>
          <w:b/>
          <w:bCs/>
          <w:color w:val="auto"/>
          <w:kern w:val="44"/>
          <w:sz w:val="32"/>
          <w:szCs w:val="32"/>
          <w:lang w:val="en-US" w:eastAsia="zh-CN"/>
        </w:rPr>
        <w:t>2.</w:t>
      </w:r>
      <w:r>
        <w:rPr>
          <w:rFonts w:hint="eastAsia" w:ascii="仿宋_GB2312" w:hAnsi="仿宋_GB2312" w:eastAsia="仿宋_GB2312" w:cs="仿宋_GB2312"/>
          <w:b/>
          <w:bCs/>
          <w:color w:val="auto"/>
          <w:kern w:val="44"/>
          <w:sz w:val="32"/>
          <w:szCs w:val="32"/>
          <w:lang w:val="en-US" w:eastAsia="zh-CN"/>
        </w:rPr>
        <w:t xml:space="preserve">组织实施 </w:t>
      </w:r>
    </w:p>
    <w:p w14:paraId="08110F78">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（1）管理制度健全性 </w:t>
      </w:r>
    </w:p>
    <w:p w14:paraId="02CE4DF2">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b w:val="0"/>
          <w:bCs w:val="0"/>
          <w:kern w:val="1"/>
          <w:sz w:val="32"/>
          <w:szCs w:val="32"/>
          <w:lang w:val="en-US" w:eastAsia="zh-CN" w:bidi="ar-SA"/>
        </w:rPr>
      </w:pPr>
      <w:r>
        <w:rPr>
          <w:rFonts w:hint="eastAsia" w:ascii="仿宋_GB2312" w:hAnsi="仿宋_GB2312" w:cs="仿宋_GB2312"/>
          <w:b w:val="0"/>
          <w:bCs w:val="0"/>
          <w:kern w:val="1"/>
          <w:sz w:val="32"/>
          <w:szCs w:val="32"/>
          <w:lang w:val="en-US" w:eastAsia="zh-CN" w:bidi="ar-SA"/>
        </w:rPr>
        <w:t>市投资促进中心</w:t>
      </w:r>
      <w:r>
        <w:rPr>
          <w:rFonts w:hint="eastAsia" w:ascii="仿宋_GB2312" w:hAnsi="仿宋_GB2312" w:eastAsia="仿宋_GB2312" w:cs="仿宋_GB2312"/>
          <w:b w:val="0"/>
          <w:bCs w:val="0"/>
          <w:kern w:val="1"/>
          <w:sz w:val="32"/>
          <w:szCs w:val="32"/>
          <w:lang w:val="en-US" w:eastAsia="zh-CN" w:bidi="ar-SA"/>
        </w:rPr>
        <w:t>建立了较为完善内部控制制度，明确了财务和项目管理方面相关制度规定。</w:t>
      </w:r>
      <w:r>
        <w:rPr>
          <w:rFonts w:hint="eastAsia" w:ascii="仿宋_GB2312" w:hAnsi="仿宋_GB2312" w:eastAsia="仿宋_GB2312" w:cs="仿宋_GB2312"/>
          <w:color w:val="000000"/>
          <w:kern w:val="0"/>
          <w:sz w:val="32"/>
          <w:szCs w:val="32"/>
          <w:lang w:val="en-US" w:eastAsia="zh-CN" w:bidi="ar"/>
        </w:rPr>
        <w:t>2023年，修订完善了《内部控制</w:t>
      </w:r>
      <w:r>
        <w:rPr>
          <w:rFonts w:hint="eastAsia" w:ascii="仿宋_GB2312" w:hAnsi="仿宋_GB2312" w:eastAsia="仿宋_GB2312" w:cs="仿宋_GB2312"/>
          <w:b w:val="0"/>
          <w:bCs w:val="0"/>
          <w:color w:val="000000"/>
          <w:kern w:val="0"/>
          <w:sz w:val="32"/>
          <w:szCs w:val="32"/>
          <w:lang w:val="en-US" w:eastAsia="zh-CN" w:bidi="ar"/>
        </w:rPr>
        <w:t>手册》和《制度汇编》。</w:t>
      </w:r>
      <w:r>
        <w:rPr>
          <w:rFonts w:hint="eastAsia" w:ascii="仿宋_GB2312" w:hAnsi="仿宋_GB2312" w:eastAsia="仿宋_GB2312" w:cs="仿宋_GB2312"/>
          <w:b w:val="0"/>
          <w:bCs w:val="0"/>
          <w:kern w:val="1"/>
          <w:sz w:val="32"/>
          <w:szCs w:val="32"/>
          <w:lang w:val="en-US" w:eastAsia="zh-CN" w:bidi="ar-SA"/>
        </w:rPr>
        <w:t>根据《中华人民共和国会计法》及相关的财政法规、规章和财务会计制度，</w:t>
      </w:r>
      <w:r>
        <w:rPr>
          <w:rFonts w:hint="eastAsia" w:ascii="仿宋_GB2312" w:hAnsi="仿宋_GB2312" w:cs="仿宋_GB2312"/>
          <w:b w:val="0"/>
          <w:bCs w:val="0"/>
          <w:kern w:val="1"/>
          <w:sz w:val="32"/>
          <w:szCs w:val="32"/>
          <w:lang w:val="en-US" w:eastAsia="zh-CN" w:bidi="ar-SA"/>
        </w:rPr>
        <w:t>市投资促进中心</w:t>
      </w:r>
      <w:r>
        <w:rPr>
          <w:rFonts w:hint="eastAsia" w:ascii="仿宋_GB2312" w:hAnsi="仿宋_GB2312" w:eastAsia="仿宋_GB2312" w:cs="仿宋_GB2312"/>
          <w:b w:val="0"/>
          <w:bCs w:val="0"/>
          <w:kern w:val="1"/>
          <w:sz w:val="32"/>
          <w:szCs w:val="32"/>
          <w:lang w:val="en-US" w:eastAsia="zh-CN" w:bidi="ar-SA"/>
        </w:rPr>
        <w:t>在财务管理方面，制定了《预算管理办法》《资金支付管理办法》《</w:t>
      </w:r>
      <w:r>
        <w:rPr>
          <w:rFonts w:hint="eastAsia" w:ascii="仿宋_GB2312" w:hAnsi="仿宋_GB2312" w:cs="仿宋_GB2312"/>
          <w:b w:val="0"/>
          <w:bCs w:val="0"/>
          <w:kern w:val="1"/>
          <w:sz w:val="32"/>
          <w:szCs w:val="32"/>
          <w:lang w:val="en-US" w:eastAsia="zh-CN" w:bidi="ar-SA"/>
        </w:rPr>
        <w:t>政府采购管理办法》</w:t>
      </w:r>
      <w:r>
        <w:rPr>
          <w:rFonts w:hint="default" w:ascii="仿宋_GB2312" w:hAnsi="仿宋_GB2312" w:eastAsia="仿宋_GB2312" w:cs="仿宋_GB2312"/>
          <w:b w:val="0"/>
          <w:bCs w:val="0"/>
          <w:kern w:val="1"/>
          <w:sz w:val="32"/>
          <w:szCs w:val="32"/>
          <w:lang w:val="en-US" w:eastAsia="zh-CN" w:bidi="ar-SA"/>
        </w:rPr>
        <w:t>等内控制度</w:t>
      </w:r>
      <w:r>
        <w:rPr>
          <w:rFonts w:hint="eastAsia" w:ascii="仿宋_GB2312" w:hAnsi="仿宋_GB2312" w:cs="仿宋_GB2312"/>
          <w:b w:val="0"/>
          <w:bCs w:val="0"/>
          <w:kern w:val="1"/>
          <w:sz w:val="32"/>
          <w:szCs w:val="32"/>
          <w:lang w:val="en-US" w:eastAsia="zh-CN" w:bidi="ar-SA"/>
        </w:rPr>
        <w:t>；在项目管理方面，</w:t>
      </w:r>
      <w:r>
        <w:rPr>
          <w:rFonts w:hint="default" w:ascii="仿宋_GB2312" w:hAnsi="仿宋_GB2312" w:eastAsia="仿宋_GB2312" w:cs="仿宋_GB2312"/>
          <w:b w:val="0"/>
          <w:bCs w:val="0"/>
          <w:kern w:val="1"/>
          <w:sz w:val="32"/>
          <w:szCs w:val="32"/>
          <w:lang w:val="en-US" w:eastAsia="zh-CN" w:bidi="ar-SA"/>
        </w:rPr>
        <w:t>制定了</w:t>
      </w:r>
      <w:r>
        <w:rPr>
          <w:rFonts w:hint="eastAsia" w:ascii="仿宋_GB2312" w:hAnsi="仿宋_GB2312" w:eastAsia="仿宋_GB2312" w:cs="仿宋_GB2312"/>
          <w:b w:val="0"/>
          <w:bCs w:val="0"/>
          <w:kern w:val="1"/>
          <w:sz w:val="32"/>
          <w:szCs w:val="32"/>
          <w:lang w:val="en-US" w:eastAsia="zh-CN" w:bidi="ar-SA"/>
        </w:rPr>
        <w:t>《预算项目管理办法》</w:t>
      </w:r>
      <w:r>
        <w:rPr>
          <w:rFonts w:hint="default" w:ascii="仿宋_GB2312" w:hAnsi="仿宋_GB2312" w:eastAsia="仿宋_GB2312" w:cs="仿宋_GB2312"/>
          <w:b w:val="0"/>
          <w:bCs w:val="0"/>
          <w:kern w:val="1"/>
          <w:sz w:val="32"/>
          <w:szCs w:val="32"/>
          <w:lang w:val="en-US" w:eastAsia="zh-CN" w:bidi="ar-SA"/>
        </w:rPr>
        <w:t>等管理制</w:t>
      </w:r>
      <w:r>
        <w:rPr>
          <w:rFonts w:hint="eastAsia" w:ascii="仿宋_GB2312" w:hAnsi="仿宋_GB2312" w:eastAsia="仿宋_GB2312" w:cs="仿宋_GB2312"/>
          <w:b w:val="0"/>
          <w:bCs w:val="0"/>
          <w:kern w:val="1"/>
          <w:sz w:val="32"/>
          <w:szCs w:val="32"/>
          <w:lang w:val="en-US" w:eastAsia="zh-CN" w:bidi="ar-SA"/>
        </w:rPr>
        <w:t>度。</w:t>
      </w:r>
      <w:r>
        <w:rPr>
          <w:rFonts w:hint="eastAsia" w:ascii="仿宋_GB2312" w:hAnsi="仿宋_GB2312" w:eastAsia="仿宋_GB2312" w:cs="仿宋_GB2312"/>
          <w:b/>
          <w:bCs/>
          <w:kern w:val="1"/>
          <w:sz w:val="32"/>
          <w:szCs w:val="32"/>
          <w:lang w:val="en-US" w:eastAsia="zh-CN" w:bidi="ar-SA"/>
        </w:rPr>
        <w:t>评价认为</w:t>
      </w:r>
      <w:r>
        <w:rPr>
          <w:rFonts w:hint="eastAsia" w:ascii="仿宋_GB2312" w:hAnsi="仿宋_GB2312" w:eastAsia="仿宋_GB2312" w:cs="仿宋_GB2312"/>
          <w:b w:val="0"/>
          <w:bCs w:val="0"/>
          <w:kern w:val="1"/>
          <w:sz w:val="32"/>
          <w:szCs w:val="32"/>
          <w:lang w:val="en-US" w:eastAsia="zh-CN" w:bidi="ar-SA"/>
        </w:rPr>
        <w:t>，该项目涉及的管理制度相对健全完善，上述财务和项目管理制度</w:t>
      </w:r>
      <w:r>
        <w:rPr>
          <w:rFonts w:hint="eastAsia" w:ascii="仿宋_GB2312" w:hAnsi="仿宋_GB2312" w:cs="仿宋_GB2312"/>
          <w:b w:val="0"/>
          <w:bCs w:val="0"/>
          <w:kern w:val="1"/>
          <w:sz w:val="32"/>
          <w:szCs w:val="32"/>
          <w:lang w:val="en-US" w:eastAsia="zh-CN" w:bidi="ar-SA"/>
        </w:rPr>
        <w:t>为</w:t>
      </w:r>
      <w:r>
        <w:rPr>
          <w:rFonts w:hint="eastAsia" w:ascii="仿宋_GB2312" w:hAnsi="仿宋_GB2312" w:eastAsia="仿宋_GB2312" w:cs="仿宋_GB2312"/>
          <w:b w:val="0"/>
          <w:bCs w:val="0"/>
          <w:kern w:val="1"/>
          <w:sz w:val="32"/>
          <w:szCs w:val="32"/>
          <w:lang w:val="en-US" w:eastAsia="zh-CN" w:bidi="ar-SA"/>
        </w:rPr>
        <w:t>项目顺利实施提供了</w:t>
      </w:r>
      <w:r>
        <w:rPr>
          <w:rFonts w:hint="eastAsia" w:ascii="仿宋_GB2312" w:hAnsi="仿宋_GB2312" w:cs="仿宋_GB2312"/>
          <w:b w:val="0"/>
          <w:bCs w:val="0"/>
          <w:kern w:val="1"/>
          <w:sz w:val="32"/>
          <w:szCs w:val="32"/>
          <w:lang w:val="en-US" w:eastAsia="zh-CN" w:bidi="ar-SA"/>
        </w:rPr>
        <w:t>制度</w:t>
      </w:r>
      <w:r>
        <w:rPr>
          <w:rFonts w:hint="eastAsia" w:ascii="仿宋_GB2312" w:hAnsi="仿宋_GB2312" w:eastAsia="仿宋_GB2312" w:cs="仿宋_GB2312"/>
          <w:b w:val="0"/>
          <w:bCs w:val="0"/>
          <w:kern w:val="1"/>
          <w:sz w:val="32"/>
          <w:szCs w:val="32"/>
          <w:lang w:val="en-US" w:eastAsia="zh-CN" w:bidi="ar-SA"/>
        </w:rPr>
        <w:t>保障</w:t>
      </w:r>
      <w:r>
        <w:rPr>
          <w:rFonts w:hint="eastAsia" w:ascii="仿宋_GB2312" w:hAnsi="仿宋_GB2312" w:cs="仿宋_GB2312"/>
          <w:b w:val="0"/>
          <w:bCs w:val="0"/>
          <w:kern w:val="1"/>
          <w:sz w:val="32"/>
          <w:szCs w:val="32"/>
          <w:lang w:val="en-US" w:eastAsia="zh-CN" w:bidi="ar-SA"/>
        </w:rPr>
        <w:t>，但仍需进一步加强对宣传片拍摄类业务制度的约束</w:t>
      </w:r>
      <w:r>
        <w:rPr>
          <w:rFonts w:hint="eastAsia" w:ascii="仿宋_GB2312" w:hAnsi="仿宋_GB2312" w:eastAsia="仿宋_GB2312" w:cs="仿宋_GB2312"/>
          <w:b w:val="0"/>
          <w:bCs w:val="0"/>
          <w:kern w:val="1"/>
          <w:sz w:val="32"/>
          <w:szCs w:val="32"/>
          <w:lang w:val="en-US" w:eastAsia="zh-CN" w:bidi="ar-SA"/>
        </w:rPr>
        <w:t>。</w:t>
      </w:r>
    </w:p>
    <w:p w14:paraId="46052154">
      <w:pPr>
        <w:keepNext w:val="0"/>
        <w:keepLines w:val="0"/>
        <w:pageBreakBefore w:val="0"/>
        <w:widowControl w:val="0"/>
        <w:suppressLineNumbers w:val="0"/>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（2）制度执行有效性</w:t>
      </w:r>
    </w:p>
    <w:p w14:paraId="77FC7786">
      <w:pPr>
        <w:pStyle w:val="1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b/>
          <w:bCs/>
          <w:kern w:val="44"/>
          <w:sz w:val="32"/>
          <w:szCs w:val="32"/>
          <w:lang w:val="en-US" w:eastAsia="zh-CN"/>
        </w:rPr>
      </w:pPr>
      <w:bookmarkStart w:id="47" w:name="_Toc13690"/>
      <w:bookmarkStart w:id="48" w:name="_Toc27468"/>
      <w:bookmarkStart w:id="49" w:name="_Toc1799514610"/>
      <w:bookmarkStart w:id="50" w:name="_Toc11744"/>
      <w:bookmarkStart w:id="51" w:name="_Toc18601"/>
      <w:bookmarkStart w:id="52" w:name="_Toc7204"/>
      <w:r>
        <w:rPr>
          <w:rFonts w:hint="default" w:ascii="仿宋_GB2312" w:hAnsi="仿宋_GB2312" w:eastAsia="仿宋_GB2312" w:cs="仿宋_GB2312"/>
          <w:b w:val="0"/>
          <w:bCs w:val="0"/>
          <w:kern w:val="1"/>
          <w:sz w:val="32"/>
          <w:szCs w:val="32"/>
          <w:lang w:val="en-US" w:eastAsia="zh-CN" w:bidi="ar-SA"/>
        </w:rPr>
        <w:t>该项目能够按照内部控制制度规范执行，具体管理措施包括：一是在</w:t>
      </w:r>
      <w:r>
        <w:rPr>
          <w:rFonts w:hint="eastAsia" w:ascii="仿宋_GB2312" w:hAnsi="仿宋_GB2312" w:eastAsia="仿宋_GB2312" w:cs="仿宋_GB2312"/>
          <w:b w:val="0"/>
          <w:bCs w:val="0"/>
          <w:kern w:val="1"/>
          <w:sz w:val="32"/>
          <w:szCs w:val="32"/>
          <w:lang w:val="en-US" w:eastAsia="zh-CN" w:bidi="ar-SA"/>
        </w:rPr>
        <w:t>中心党组</w:t>
      </w:r>
      <w:r>
        <w:rPr>
          <w:rFonts w:hint="default" w:ascii="仿宋_GB2312" w:hAnsi="仿宋_GB2312" w:eastAsia="仿宋_GB2312" w:cs="仿宋_GB2312"/>
          <w:b w:val="0"/>
          <w:bCs w:val="0"/>
          <w:kern w:val="1"/>
          <w:sz w:val="32"/>
          <w:szCs w:val="32"/>
          <w:lang w:val="en-US" w:eastAsia="zh-CN" w:bidi="ar-SA"/>
        </w:rPr>
        <w:t>领导下，</w:t>
      </w:r>
      <w:r>
        <w:rPr>
          <w:rFonts w:hint="eastAsia" w:ascii="仿宋_GB2312" w:hAnsi="仿宋_GB2312" w:eastAsia="仿宋_GB2312" w:cs="仿宋_GB2312"/>
          <w:b w:val="0"/>
          <w:bCs w:val="0"/>
          <w:kern w:val="1"/>
          <w:sz w:val="32"/>
          <w:szCs w:val="32"/>
          <w:lang w:val="en-US" w:eastAsia="zh-CN" w:bidi="ar-SA"/>
        </w:rPr>
        <w:t>项目实施处室</w:t>
      </w:r>
      <w:r>
        <w:rPr>
          <w:rFonts w:hint="default" w:ascii="仿宋_GB2312" w:hAnsi="仿宋_GB2312" w:eastAsia="仿宋_GB2312" w:cs="仿宋_GB2312"/>
          <w:b w:val="0"/>
          <w:bCs w:val="0"/>
          <w:kern w:val="1"/>
          <w:sz w:val="32"/>
          <w:szCs w:val="32"/>
          <w:lang w:val="en-US" w:eastAsia="zh-CN" w:bidi="ar-SA"/>
        </w:rPr>
        <w:t>全面负责项目的统筹规划，完成具体项目的申报、日常管理和考核工作。二是依据预算及采购制度规定，采取</w:t>
      </w:r>
      <w:r>
        <w:rPr>
          <w:rFonts w:hint="eastAsia" w:ascii="仿宋_GB2312" w:hAnsi="仿宋_GB2312" w:eastAsia="仿宋_GB2312" w:cs="仿宋_GB2312"/>
          <w:b w:val="0"/>
          <w:bCs w:val="0"/>
          <w:kern w:val="1"/>
          <w:sz w:val="32"/>
          <w:szCs w:val="32"/>
          <w:lang w:val="en-US" w:eastAsia="zh-CN" w:bidi="ar-SA"/>
        </w:rPr>
        <w:t>竞争性磋商</w:t>
      </w:r>
      <w:r>
        <w:rPr>
          <w:rFonts w:hint="default" w:ascii="仿宋_GB2312" w:hAnsi="仿宋_GB2312" w:eastAsia="仿宋_GB2312" w:cs="仿宋_GB2312"/>
          <w:b w:val="0"/>
          <w:bCs w:val="0"/>
          <w:kern w:val="1"/>
          <w:sz w:val="32"/>
          <w:szCs w:val="32"/>
          <w:lang w:val="en-US" w:eastAsia="zh-CN" w:bidi="ar-SA"/>
        </w:rPr>
        <w:t>方式进行采购。三是加强资金监控。</w:t>
      </w:r>
      <w:r>
        <w:rPr>
          <w:rFonts w:hint="eastAsia" w:ascii="仿宋_GB2312" w:hAnsi="仿宋_GB2312" w:eastAsia="仿宋_GB2312" w:cs="仿宋_GB2312"/>
          <w:b w:val="0"/>
          <w:bCs w:val="0"/>
          <w:kern w:val="1"/>
          <w:sz w:val="32"/>
          <w:szCs w:val="32"/>
          <w:lang w:val="en-US" w:eastAsia="zh-CN" w:bidi="ar-SA"/>
        </w:rPr>
        <w:t>单位</w:t>
      </w:r>
      <w:r>
        <w:rPr>
          <w:rFonts w:hint="default" w:ascii="仿宋_GB2312" w:hAnsi="仿宋_GB2312" w:eastAsia="仿宋_GB2312" w:cs="仿宋_GB2312"/>
          <w:b w:val="0"/>
          <w:bCs w:val="0"/>
          <w:kern w:val="1"/>
          <w:sz w:val="32"/>
          <w:szCs w:val="32"/>
          <w:lang w:val="en-US" w:eastAsia="zh-CN" w:bidi="ar-SA"/>
        </w:rPr>
        <w:t>严格落实资金拨付审批程序，以保障资金及时到位，同时，配合市财政局开展项目监查、绩效评价相关工作，加强资金使用效果的监督、落实。</w:t>
      </w:r>
      <w:r>
        <w:rPr>
          <w:rFonts w:hint="eastAsia" w:ascii="仿宋_GB2312" w:hAnsi="仿宋_GB2312" w:eastAsia="仿宋_GB2312" w:cs="仿宋_GB2312"/>
          <w:b w:val="0"/>
          <w:bCs w:val="0"/>
          <w:kern w:val="1"/>
          <w:sz w:val="32"/>
          <w:szCs w:val="32"/>
          <w:lang w:val="en-US" w:eastAsia="zh-CN" w:bidi="ar-SA"/>
        </w:rPr>
        <w:t>但项目延期履约只有供应商的延期说明，未体现业务管理制度的约束。</w:t>
      </w:r>
      <w:r>
        <w:rPr>
          <w:rFonts w:hint="eastAsia" w:ascii="仿宋_GB2312" w:hAnsi="仿宋_GB2312" w:eastAsia="仿宋_GB2312" w:cs="仿宋_GB2312"/>
          <w:b/>
          <w:bCs/>
          <w:kern w:val="1"/>
          <w:sz w:val="32"/>
          <w:szCs w:val="32"/>
          <w:lang w:val="en-US" w:eastAsia="zh-CN" w:bidi="ar-SA"/>
        </w:rPr>
        <w:t>评价认为</w:t>
      </w:r>
      <w:r>
        <w:rPr>
          <w:rFonts w:hint="eastAsia" w:ascii="仿宋_GB2312" w:hAnsi="仿宋_GB2312" w:eastAsia="仿宋_GB2312" w:cs="仿宋_GB2312"/>
          <w:b w:val="0"/>
          <w:bCs w:val="0"/>
          <w:kern w:val="1"/>
          <w:sz w:val="32"/>
          <w:szCs w:val="32"/>
          <w:lang w:val="en-US" w:eastAsia="zh-CN" w:bidi="ar-SA"/>
        </w:rPr>
        <w:t>，</w:t>
      </w:r>
      <w:r>
        <w:rPr>
          <w:rFonts w:hint="default" w:ascii="仿宋_GB2312" w:hAnsi="仿宋_GB2312" w:eastAsia="仿宋_GB2312" w:cs="仿宋_GB2312"/>
          <w:b w:val="0"/>
          <w:bCs w:val="0"/>
          <w:kern w:val="1"/>
          <w:sz w:val="32"/>
          <w:szCs w:val="32"/>
          <w:lang w:val="en-US" w:eastAsia="zh-CN" w:bidi="ar-SA"/>
        </w:rPr>
        <w:t>该项目资金拨付有完整的审批程序；财务和</w:t>
      </w:r>
      <w:r>
        <w:rPr>
          <w:rFonts w:hint="eastAsia" w:ascii="仿宋_GB2312" w:hAnsi="仿宋_GB2312" w:eastAsia="仿宋_GB2312" w:cs="仿宋_GB2312"/>
          <w:b w:val="0"/>
          <w:bCs w:val="0"/>
          <w:kern w:val="1"/>
          <w:sz w:val="32"/>
          <w:szCs w:val="32"/>
          <w:lang w:val="en-US" w:eastAsia="zh-CN" w:bidi="ar-SA"/>
        </w:rPr>
        <w:t>项目</w:t>
      </w:r>
      <w:r>
        <w:rPr>
          <w:rFonts w:hint="default" w:ascii="仿宋_GB2312" w:hAnsi="仿宋_GB2312" w:eastAsia="仿宋_GB2312" w:cs="仿宋_GB2312"/>
          <w:b w:val="0"/>
          <w:bCs w:val="0"/>
          <w:kern w:val="1"/>
          <w:sz w:val="32"/>
          <w:szCs w:val="32"/>
          <w:lang w:val="en-US" w:eastAsia="zh-CN" w:bidi="ar-SA"/>
        </w:rPr>
        <w:t>管理制度较健全，能够按照制度规范执行</w:t>
      </w:r>
      <w:r>
        <w:rPr>
          <w:rFonts w:hint="eastAsia" w:ascii="仿宋_GB2312" w:hAnsi="仿宋_GB2312" w:eastAsia="仿宋_GB2312" w:cs="仿宋_GB2312"/>
          <w:b w:val="0"/>
          <w:bCs w:val="0"/>
          <w:kern w:val="1"/>
          <w:sz w:val="32"/>
          <w:szCs w:val="32"/>
          <w:lang w:val="en-US" w:eastAsia="zh-CN" w:bidi="ar-SA"/>
        </w:rPr>
        <w:t>，但仍需加强业务管理制度的约束性</w:t>
      </w:r>
      <w:r>
        <w:rPr>
          <w:rFonts w:hint="default" w:ascii="仿宋_GB2312" w:hAnsi="仿宋_GB2312" w:eastAsia="仿宋_GB2312" w:cs="仿宋_GB2312"/>
          <w:b w:val="0"/>
          <w:bCs w:val="0"/>
          <w:kern w:val="1"/>
          <w:sz w:val="32"/>
          <w:szCs w:val="32"/>
          <w:lang w:val="en-US" w:eastAsia="zh-CN" w:bidi="ar-SA"/>
        </w:rPr>
        <w:t>。</w:t>
      </w:r>
    </w:p>
    <w:p w14:paraId="7E691640">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outlineLvl w:val="1"/>
        <w:rPr>
          <w:rFonts w:hint="eastAsia" w:ascii="楷体_GB2312" w:hAnsi="楷体_GB2312" w:eastAsia="楷体_GB2312" w:cs="楷体_GB2312"/>
          <w:b/>
          <w:bCs/>
          <w:kern w:val="44"/>
          <w:sz w:val="32"/>
          <w:szCs w:val="32"/>
          <w:lang w:val="en-US" w:eastAsia="zh-CN"/>
        </w:rPr>
      </w:pPr>
      <w:r>
        <w:rPr>
          <w:rFonts w:hint="eastAsia" w:ascii="楷体_GB2312" w:hAnsi="楷体_GB2312" w:eastAsia="楷体_GB2312" w:cs="楷体_GB2312"/>
          <w:b/>
          <w:bCs/>
          <w:kern w:val="44"/>
          <w:sz w:val="32"/>
          <w:szCs w:val="32"/>
          <w:lang w:val="en-US" w:eastAsia="zh-CN"/>
        </w:rPr>
        <w:t>（三）项目产出情况</w:t>
      </w:r>
      <w:bookmarkEnd w:id="47"/>
      <w:bookmarkEnd w:id="48"/>
      <w:bookmarkEnd w:id="49"/>
      <w:bookmarkEnd w:id="50"/>
      <w:bookmarkEnd w:id="51"/>
      <w:bookmarkEnd w:id="52"/>
    </w:p>
    <w:p w14:paraId="5FAFB404">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cs="仿宋_GB2312"/>
          <w:bCs/>
          <w:color w:val="auto"/>
          <w:kern w:val="44"/>
          <w:sz w:val="32"/>
          <w:szCs w:val="32"/>
          <w:highlight w:val="none"/>
          <w:lang w:val="en-US" w:eastAsia="zh-CN"/>
        </w:rPr>
      </w:pPr>
      <w:r>
        <w:rPr>
          <w:rFonts w:hint="eastAsia" w:ascii="仿宋_GB2312" w:hAnsi="仿宋_GB2312" w:eastAsia="仿宋_GB2312" w:cs="仿宋_GB2312"/>
          <w:bCs/>
          <w:kern w:val="44"/>
          <w:sz w:val="32"/>
          <w:szCs w:val="32"/>
        </w:rPr>
        <w:t>项目</w:t>
      </w:r>
      <w:r>
        <w:rPr>
          <w:rFonts w:hint="eastAsia" w:ascii="仿宋_GB2312" w:hAnsi="仿宋_GB2312" w:eastAsia="仿宋_GB2312" w:cs="仿宋_GB2312"/>
          <w:bCs/>
          <w:kern w:val="44"/>
          <w:sz w:val="32"/>
          <w:szCs w:val="32"/>
          <w:lang w:val="en-US" w:eastAsia="zh-CN"/>
        </w:rPr>
        <w:t>产出</w:t>
      </w:r>
      <w:r>
        <w:rPr>
          <w:rFonts w:hint="eastAsia" w:ascii="仿宋_GB2312" w:hAnsi="仿宋_GB2312" w:eastAsia="仿宋_GB2312" w:cs="仿宋_GB2312"/>
          <w:bCs/>
          <w:kern w:val="44"/>
          <w:sz w:val="32"/>
          <w:szCs w:val="32"/>
        </w:rPr>
        <w:t>指标，满分</w:t>
      </w:r>
      <w:r>
        <w:rPr>
          <w:rFonts w:hint="eastAsia" w:ascii="仿宋_GB2312" w:hAnsi="仿宋_GB2312" w:eastAsia="仿宋_GB2312" w:cs="仿宋_GB2312"/>
          <w:bCs/>
          <w:kern w:val="44"/>
          <w:sz w:val="32"/>
          <w:szCs w:val="32"/>
          <w:lang w:val="en-US" w:eastAsia="zh-CN"/>
        </w:rPr>
        <w:t>40.00</w:t>
      </w:r>
      <w:r>
        <w:rPr>
          <w:rFonts w:hint="eastAsia" w:ascii="仿宋_GB2312" w:hAnsi="仿宋_GB2312" w:eastAsia="仿宋_GB2312" w:cs="仿宋_GB2312"/>
          <w:bCs/>
          <w:kern w:val="44"/>
          <w:sz w:val="32"/>
          <w:szCs w:val="32"/>
        </w:rPr>
        <w:t>分，评价得分</w:t>
      </w:r>
      <w:r>
        <w:rPr>
          <w:rFonts w:hint="eastAsia" w:ascii="仿宋_GB2312" w:hAnsi="仿宋_GB2312" w:eastAsia="仿宋_GB2312" w:cs="仿宋_GB2312"/>
          <w:bCs/>
          <w:kern w:val="44"/>
          <w:sz w:val="32"/>
          <w:szCs w:val="32"/>
          <w:highlight w:val="none"/>
        </w:rPr>
        <w:t>为</w:t>
      </w:r>
      <w:r>
        <w:rPr>
          <w:rFonts w:hint="eastAsia" w:ascii="仿宋_GB2312" w:hAnsi="仿宋_GB2312" w:eastAsia="仿宋_GB2312" w:cs="仿宋_GB2312"/>
          <w:bCs/>
          <w:kern w:val="44"/>
          <w:sz w:val="32"/>
          <w:szCs w:val="32"/>
          <w:highlight w:val="none"/>
          <w:lang w:val="en-US" w:eastAsia="zh-CN"/>
        </w:rPr>
        <w:t>35.20</w:t>
      </w:r>
      <w:r>
        <w:rPr>
          <w:rFonts w:hint="eastAsia" w:ascii="仿宋_GB2312" w:hAnsi="仿宋_GB2312" w:eastAsia="仿宋_GB2312" w:cs="仿宋_GB2312"/>
          <w:bCs/>
          <w:kern w:val="44"/>
          <w:sz w:val="32"/>
          <w:szCs w:val="32"/>
          <w:highlight w:val="none"/>
        </w:rPr>
        <w:t>分。</w:t>
      </w:r>
      <w:r>
        <w:rPr>
          <w:rFonts w:hint="eastAsia" w:ascii="仿宋_GB2312" w:hAnsi="仿宋_GB2312" w:cs="仿宋_GB2312"/>
          <w:bCs/>
          <w:color w:val="auto"/>
          <w:kern w:val="44"/>
          <w:sz w:val="32"/>
          <w:szCs w:val="32"/>
          <w:highlight w:val="none"/>
          <w:lang w:val="en-US" w:eastAsia="zh-CN"/>
        </w:rPr>
        <w:t>项目产出指标各指标得分情况及扣分原因见表6.</w:t>
      </w:r>
    </w:p>
    <w:p w14:paraId="212623C7">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default" w:ascii="仿宋_GB2312" w:hAnsi="仿宋_GB2312" w:cs="仿宋_GB2312"/>
          <w:bCs/>
          <w:color w:val="auto"/>
          <w:kern w:val="44"/>
          <w:sz w:val="32"/>
          <w:szCs w:val="32"/>
          <w:highlight w:val="none"/>
          <w:lang w:val="en-US" w:eastAsia="zh-CN"/>
        </w:rPr>
      </w:pPr>
      <w:r>
        <w:rPr>
          <w:rFonts w:hint="eastAsia" w:ascii="仿宋_GB2312" w:hAnsi="仿宋_GB2312" w:cs="仿宋_GB2312"/>
          <w:bCs/>
          <w:color w:val="auto"/>
          <w:kern w:val="44"/>
          <w:sz w:val="32"/>
          <w:szCs w:val="32"/>
          <w:highlight w:val="none"/>
          <w:lang w:val="en-US" w:eastAsia="zh-CN"/>
        </w:rPr>
        <w:t>表6.项目产出各指标得分情况表</w:t>
      </w:r>
    </w:p>
    <w:tbl>
      <w:tblPr>
        <w:tblStyle w:val="15"/>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707"/>
        <w:gridCol w:w="1861"/>
        <w:gridCol w:w="1440"/>
        <w:gridCol w:w="1520"/>
        <w:gridCol w:w="2460"/>
      </w:tblGrid>
      <w:tr w14:paraId="54353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7D1D55C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eastAsia="zh-CN"/>
              </w:rPr>
            </w:pPr>
            <w:r>
              <w:rPr>
                <w:rFonts w:hint="eastAsia" w:asciiTheme="majorEastAsia" w:hAnsiTheme="majorEastAsia" w:eastAsiaTheme="majorEastAsia" w:cstheme="majorEastAsia"/>
                <w:b/>
                <w:bCs w:val="0"/>
                <w:sz w:val="24"/>
                <w:szCs w:val="24"/>
                <w:highlight w:val="none"/>
                <w:lang w:val="en-US" w:eastAsia="zh-CN"/>
              </w:rPr>
              <w:t>二级</w:t>
            </w:r>
          </w:p>
        </w:tc>
        <w:tc>
          <w:tcPr>
            <w:tcW w:w="1861" w:type="dxa"/>
            <w:shd w:val="clear" w:color="auto" w:fill="auto"/>
            <w:noWrap w:val="0"/>
            <w:vAlign w:val="center"/>
          </w:tcPr>
          <w:p w14:paraId="7F4DC73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三级指标</w:t>
            </w:r>
          </w:p>
        </w:tc>
        <w:tc>
          <w:tcPr>
            <w:tcW w:w="1440" w:type="dxa"/>
            <w:shd w:val="clear" w:color="auto" w:fill="auto"/>
            <w:noWrap w:val="0"/>
            <w:vAlign w:val="center"/>
          </w:tcPr>
          <w:p w14:paraId="5E86D2E6">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eastAsia="zh-CN"/>
              </w:rPr>
            </w:pPr>
            <w:r>
              <w:rPr>
                <w:rFonts w:hint="eastAsia" w:asciiTheme="majorEastAsia" w:hAnsiTheme="majorEastAsia" w:eastAsiaTheme="majorEastAsia" w:cstheme="majorEastAsia"/>
                <w:b/>
                <w:bCs w:val="0"/>
                <w:sz w:val="24"/>
                <w:szCs w:val="24"/>
                <w:highlight w:val="none"/>
                <w:lang w:val="en-US" w:eastAsia="zh-CN"/>
              </w:rPr>
              <w:t>分值</w:t>
            </w:r>
          </w:p>
        </w:tc>
        <w:tc>
          <w:tcPr>
            <w:tcW w:w="1520" w:type="dxa"/>
            <w:shd w:val="clear" w:color="auto" w:fill="auto"/>
            <w:noWrap w:val="0"/>
            <w:vAlign w:val="center"/>
          </w:tcPr>
          <w:p w14:paraId="05434F84">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评价得分</w:t>
            </w:r>
          </w:p>
        </w:tc>
        <w:tc>
          <w:tcPr>
            <w:tcW w:w="2460" w:type="dxa"/>
            <w:shd w:val="clear" w:color="auto" w:fill="auto"/>
            <w:noWrap w:val="0"/>
            <w:vAlign w:val="center"/>
          </w:tcPr>
          <w:p w14:paraId="7EF8EBF7">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扣分原因</w:t>
            </w:r>
          </w:p>
        </w:tc>
      </w:tr>
      <w:tr w14:paraId="66A5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783DFBE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产出数量</w:t>
            </w:r>
          </w:p>
        </w:tc>
        <w:tc>
          <w:tcPr>
            <w:tcW w:w="1861" w:type="dxa"/>
            <w:shd w:val="clear" w:color="auto" w:fill="auto"/>
            <w:noWrap w:val="0"/>
            <w:vAlign w:val="center"/>
          </w:tcPr>
          <w:p w14:paraId="272A3F6B">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rPr>
              <w:t>实际完成率</w:t>
            </w:r>
          </w:p>
        </w:tc>
        <w:tc>
          <w:tcPr>
            <w:tcW w:w="1440" w:type="dxa"/>
            <w:shd w:val="clear" w:color="auto" w:fill="auto"/>
            <w:noWrap w:val="0"/>
            <w:vAlign w:val="center"/>
          </w:tcPr>
          <w:p w14:paraId="13553CDD">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030B485D">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9.2</w:t>
            </w:r>
          </w:p>
        </w:tc>
        <w:tc>
          <w:tcPr>
            <w:tcW w:w="2460" w:type="dxa"/>
            <w:shd w:val="clear" w:color="auto" w:fill="auto"/>
            <w:noWrap w:val="0"/>
            <w:vAlign w:val="center"/>
          </w:tcPr>
          <w:p w14:paraId="2ACE0CEA">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产出数量指标完成情况较好，但计划产出指标设置应更细化、更准确，与实际完成指标相对应。</w:t>
            </w:r>
          </w:p>
        </w:tc>
      </w:tr>
      <w:tr w14:paraId="58D3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7A396AD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产出质量</w:t>
            </w:r>
          </w:p>
        </w:tc>
        <w:tc>
          <w:tcPr>
            <w:tcW w:w="1861" w:type="dxa"/>
            <w:shd w:val="clear" w:color="auto" w:fill="auto"/>
            <w:noWrap w:val="0"/>
            <w:vAlign w:val="center"/>
          </w:tcPr>
          <w:p w14:paraId="2197109E">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rPr>
              <w:t>质量达标率</w:t>
            </w:r>
          </w:p>
        </w:tc>
        <w:tc>
          <w:tcPr>
            <w:tcW w:w="1440" w:type="dxa"/>
            <w:shd w:val="clear" w:color="auto" w:fill="auto"/>
            <w:noWrap w:val="0"/>
            <w:vAlign w:val="center"/>
          </w:tcPr>
          <w:p w14:paraId="48C2AEDE">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7CCA229C">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i w:val="0"/>
                <w:iCs w:val="0"/>
                <w:color w:val="000000"/>
                <w:kern w:val="0"/>
                <w:sz w:val="24"/>
                <w:szCs w:val="24"/>
                <w:u w:val="none"/>
                <w:lang w:val="en-US" w:eastAsia="zh-CN" w:bidi="ar"/>
              </w:rPr>
            </w:pPr>
            <w:r>
              <w:rPr>
                <w:rFonts w:hint="eastAsia" w:asciiTheme="majorEastAsia" w:hAnsiTheme="majorEastAsia" w:eastAsiaTheme="majorEastAsia" w:cstheme="majorEastAsia"/>
                <w:color w:val="000000"/>
                <w:kern w:val="0"/>
                <w:sz w:val="24"/>
                <w:lang w:val="en-US" w:eastAsia="zh-CN"/>
              </w:rPr>
              <w:t>9</w:t>
            </w:r>
          </w:p>
        </w:tc>
        <w:tc>
          <w:tcPr>
            <w:tcW w:w="2460" w:type="dxa"/>
            <w:shd w:val="clear" w:color="auto" w:fill="auto"/>
            <w:noWrap w:val="0"/>
            <w:vAlign w:val="center"/>
          </w:tcPr>
          <w:p w14:paraId="14D43422">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绩效指标明确性、指标设定上继续加强，以进一步增强质量的可衡量性。</w:t>
            </w:r>
          </w:p>
        </w:tc>
      </w:tr>
      <w:tr w14:paraId="722BA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440A61B7">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产出时效</w:t>
            </w:r>
          </w:p>
        </w:tc>
        <w:tc>
          <w:tcPr>
            <w:tcW w:w="1861" w:type="dxa"/>
            <w:shd w:val="clear" w:color="auto" w:fill="auto"/>
            <w:noWrap w:val="0"/>
            <w:vAlign w:val="center"/>
          </w:tcPr>
          <w:p w14:paraId="2D284994">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rPr>
              <w:t>完成及时性</w:t>
            </w:r>
          </w:p>
        </w:tc>
        <w:tc>
          <w:tcPr>
            <w:tcW w:w="1440" w:type="dxa"/>
            <w:shd w:val="clear" w:color="auto" w:fill="auto"/>
            <w:noWrap w:val="0"/>
            <w:vAlign w:val="center"/>
          </w:tcPr>
          <w:p w14:paraId="39D35A41">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097078C7">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7.6</w:t>
            </w:r>
          </w:p>
        </w:tc>
        <w:tc>
          <w:tcPr>
            <w:tcW w:w="2460" w:type="dxa"/>
            <w:shd w:val="clear" w:color="auto" w:fill="auto"/>
            <w:noWrap w:val="0"/>
            <w:vAlign w:val="center"/>
          </w:tcPr>
          <w:p w14:paraId="4B149381">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项目延期未按合同约定进度完成。</w:t>
            </w:r>
          </w:p>
        </w:tc>
      </w:tr>
      <w:tr w14:paraId="71AD3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38F33D7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产出成本</w:t>
            </w:r>
          </w:p>
        </w:tc>
        <w:tc>
          <w:tcPr>
            <w:tcW w:w="1861" w:type="dxa"/>
            <w:shd w:val="clear" w:color="auto" w:fill="auto"/>
            <w:noWrap w:val="0"/>
            <w:vAlign w:val="center"/>
          </w:tcPr>
          <w:p w14:paraId="08790C65">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rPr>
              <w:t>成本节约率</w:t>
            </w:r>
          </w:p>
        </w:tc>
        <w:tc>
          <w:tcPr>
            <w:tcW w:w="1440" w:type="dxa"/>
            <w:shd w:val="clear" w:color="auto" w:fill="auto"/>
            <w:noWrap w:val="0"/>
            <w:vAlign w:val="center"/>
          </w:tcPr>
          <w:p w14:paraId="3C3B87EC">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1421016F">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9.4</w:t>
            </w:r>
          </w:p>
        </w:tc>
        <w:tc>
          <w:tcPr>
            <w:tcW w:w="2460" w:type="dxa"/>
            <w:shd w:val="clear" w:color="auto" w:fill="auto"/>
            <w:noWrap w:val="0"/>
            <w:vAlign w:val="center"/>
          </w:tcPr>
          <w:p w14:paraId="00B57155">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项目成本控制措施较有效，但仍需提前调研市场价格细化成本。</w:t>
            </w:r>
          </w:p>
        </w:tc>
      </w:tr>
      <w:tr w14:paraId="0030C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9" w:hRule="atLeast"/>
          <w:jc w:val="center"/>
        </w:trPr>
        <w:tc>
          <w:tcPr>
            <w:tcW w:w="3568" w:type="dxa"/>
            <w:gridSpan w:val="2"/>
            <w:shd w:val="clear" w:color="auto" w:fill="auto"/>
            <w:noWrap w:val="0"/>
            <w:vAlign w:val="center"/>
          </w:tcPr>
          <w:p w14:paraId="65781CB1">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项目产出</w:t>
            </w:r>
          </w:p>
        </w:tc>
        <w:tc>
          <w:tcPr>
            <w:tcW w:w="1440" w:type="dxa"/>
            <w:shd w:val="clear" w:color="auto" w:fill="auto"/>
            <w:noWrap w:val="0"/>
            <w:vAlign w:val="center"/>
          </w:tcPr>
          <w:p w14:paraId="68F8229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40</w:t>
            </w:r>
          </w:p>
        </w:tc>
        <w:tc>
          <w:tcPr>
            <w:tcW w:w="1520" w:type="dxa"/>
            <w:shd w:val="clear" w:color="auto" w:fill="auto"/>
            <w:noWrap w:val="0"/>
            <w:vAlign w:val="center"/>
          </w:tcPr>
          <w:p w14:paraId="0FE2F621">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35.20</w:t>
            </w:r>
          </w:p>
        </w:tc>
        <w:tc>
          <w:tcPr>
            <w:tcW w:w="2460" w:type="dxa"/>
            <w:shd w:val="clear" w:color="auto" w:fill="auto"/>
            <w:noWrap w:val="0"/>
            <w:vAlign w:val="center"/>
          </w:tcPr>
          <w:p w14:paraId="55FCC52D">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p>
        </w:tc>
      </w:tr>
    </w:tbl>
    <w:p w14:paraId="422993B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1.产出数量</w:t>
      </w:r>
    </w:p>
    <w:p w14:paraId="0774FB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cs="仿宋_GB2312"/>
          <w:b w:val="0"/>
          <w:bCs w:val="0"/>
          <w:kern w:val="1"/>
          <w:sz w:val="32"/>
          <w:szCs w:val="32"/>
          <w:lang w:val="en-US" w:eastAsia="zh-CN" w:bidi="ar-SA"/>
        </w:rPr>
      </w:pPr>
      <w:r>
        <w:rPr>
          <w:rFonts w:hint="eastAsia" w:ascii="仿宋_GB2312" w:hAnsi="仿宋_GB2312" w:cs="仿宋_GB2312"/>
          <w:b w:val="0"/>
          <w:bCs w:val="0"/>
          <w:kern w:val="1"/>
          <w:sz w:val="32"/>
          <w:szCs w:val="32"/>
          <w:lang w:val="en-US" w:eastAsia="zh-CN" w:bidi="ar-SA"/>
        </w:rPr>
        <w:t>市投资促进中心于2023年9月18日组织召开了项目验收会，通过验收项目成果确认，宣传片中文长短版时长分别为6分12秒、3分13秒，英文长短版时长分别为7分12秒、3分02秒。</w:t>
      </w:r>
      <w:r>
        <w:rPr>
          <w:rFonts w:hint="eastAsia" w:ascii="仿宋_GB2312" w:hAnsi="仿宋_GB2312" w:eastAsia="仿宋_GB2312" w:cs="仿宋_GB2312"/>
          <w:sz w:val="32"/>
          <w:szCs w:val="32"/>
          <w:lang w:eastAsia="zh-CN"/>
        </w:rPr>
        <w:t>虽与绩效目标数量指标的</w:t>
      </w:r>
      <w:r>
        <w:rPr>
          <w:rFonts w:hint="eastAsia" w:ascii="仿宋_GB2312" w:hAnsi="仿宋_GB2312" w:eastAsia="仿宋_GB2312" w:cs="仿宋_GB2312"/>
          <w:sz w:val="32"/>
          <w:szCs w:val="32"/>
          <w:lang w:val="en-US" w:eastAsia="zh-CN"/>
        </w:rPr>
        <w:t>8分钟和2分钟稍有误差，但根据需要剪辑成的最终版本在北京市对外招商推介</w:t>
      </w:r>
      <w:r>
        <w:rPr>
          <w:rFonts w:hint="eastAsia" w:ascii="仿宋_GB2312" w:hAnsi="仿宋_GB2312" w:cs="仿宋_GB2312"/>
          <w:b w:val="0"/>
          <w:bCs w:val="0"/>
          <w:kern w:val="1"/>
          <w:sz w:val="32"/>
          <w:szCs w:val="32"/>
          <w:lang w:val="en-US" w:eastAsia="zh-CN" w:bidi="ar-SA"/>
        </w:rPr>
        <w:t>各项活动中起到了重要的宣传作用。</w:t>
      </w:r>
      <w:r>
        <w:rPr>
          <w:rFonts w:hint="eastAsia" w:ascii="仿宋_GB2312" w:hAnsi="仿宋_GB2312" w:cs="仿宋_GB2312"/>
          <w:b/>
          <w:bCs/>
          <w:kern w:val="1"/>
          <w:sz w:val="32"/>
          <w:szCs w:val="32"/>
          <w:lang w:val="en-US" w:eastAsia="zh-CN" w:bidi="ar-SA"/>
        </w:rPr>
        <w:t>评价认为</w:t>
      </w:r>
      <w:r>
        <w:rPr>
          <w:rFonts w:hint="eastAsia" w:ascii="仿宋_GB2312" w:hAnsi="仿宋_GB2312" w:cs="仿宋_GB2312"/>
          <w:b w:val="0"/>
          <w:bCs w:val="0"/>
          <w:kern w:val="1"/>
          <w:sz w:val="32"/>
          <w:szCs w:val="32"/>
          <w:lang w:val="en-US" w:eastAsia="zh-CN" w:bidi="ar-SA"/>
        </w:rPr>
        <w:t>，</w:t>
      </w:r>
      <w:r>
        <w:rPr>
          <w:rFonts w:hint="eastAsia" w:ascii="仿宋_GB2312" w:hAnsi="仿宋_GB2312" w:cs="仿宋_GB2312"/>
          <w:b w:val="0"/>
          <w:bCs w:val="0"/>
          <w:kern w:val="1"/>
          <w:sz w:val="32"/>
          <w:szCs w:val="32"/>
          <w:lang w:val="en-US" w:eastAsia="zh-Hans" w:bidi="ar-SA"/>
        </w:rPr>
        <w:t>该项目产出数量</w:t>
      </w:r>
      <w:r>
        <w:rPr>
          <w:rFonts w:hint="eastAsia" w:ascii="仿宋_GB2312" w:hAnsi="仿宋_GB2312" w:cs="仿宋_GB2312"/>
          <w:b w:val="0"/>
          <w:bCs w:val="0"/>
          <w:kern w:val="1"/>
          <w:sz w:val="32"/>
          <w:szCs w:val="32"/>
          <w:lang w:val="en-US" w:eastAsia="zh-CN" w:bidi="ar-SA"/>
        </w:rPr>
        <w:t>指标</w:t>
      </w:r>
      <w:r>
        <w:rPr>
          <w:rFonts w:hint="eastAsia" w:ascii="仿宋_GB2312" w:hAnsi="仿宋_GB2312" w:cs="仿宋_GB2312"/>
          <w:b w:val="0"/>
          <w:bCs w:val="0"/>
          <w:kern w:val="1"/>
          <w:sz w:val="32"/>
          <w:szCs w:val="32"/>
          <w:lang w:val="en-US" w:eastAsia="zh-Hans" w:bidi="ar-SA"/>
        </w:rPr>
        <w:t>完成情况较好</w:t>
      </w:r>
      <w:r>
        <w:rPr>
          <w:rFonts w:hint="eastAsia" w:ascii="仿宋_GB2312" w:hAnsi="仿宋_GB2312" w:cs="仿宋_GB2312"/>
          <w:b w:val="0"/>
          <w:bCs w:val="0"/>
          <w:kern w:val="1"/>
          <w:sz w:val="32"/>
          <w:szCs w:val="32"/>
          <w:lang w:val="en-US" w:eastAsia="zh-CN" w:bidi="ar-SA"/>
        </w:rPr>
        <w:t>，但计划产出指标设置应更细化、更准确，与实际完成指标相对应。</w:t>
      </w:r>
    </w:p>
    <w:p w14:paraId="5E501E1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2.产出质量</w:t>
      </w:r>
    </w:p>
    <w:p w14:paraId="5F2A0B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cs="仿宋_GB2312"/>
          <w:b w:val="0"/>
          <w:bCs w:val="0"/>
          <w:kern w:val="1"/>
          <w:sz w:val="32"/>
          <w:szCs w:val="32"/>
          <w:lang w:val="en-US" w:eastAsia="zh-CN" w:bidi="ar-SA"/>
        </w:rPr>
      </w:pPr>
      <w:r>
        <w:rPr>
          <w:rFonts w:hint="eastAsia" w:ascii="仿宋_GB2312" w:hAnsi="仿宋_GB2312" w:cs="仿宋_GB2312"/>
          <w:kern w:val="1"/>
          <w:sz w:val="32"/>
          <w:szCs w:val="32"/>
          <w:u w:val="none" w:color="auto"/>
          <w:lang w:val="en-US" w:eastAsia="zh-CN"/>
        </w:rPr>
        <w:t>2023年</w:t>
      </w:r>
      <w:r>
        <w:rPr>
          <w:rFonts w:hint="eastAsia" w:ascii="仿宋_GB2312" w:hAnsi="仿宋_GB2312" w:cs="仿宋_GB2312"/>
          <w:kern w:val="1"/>
          <w:sz w:val="32"/>
          <w:szCs w:val="32"/>
          <w:u w:val="none" w:color="auto"/>
          <w:lang w:eastAsia="zh-CN"/>
        </w:rPr>
        <w:t>共举办各类招商推介活动</w:t>
      </w:r>
      <w:r>
        <w:rPr>
          <w:rFonts w:hint="eastAsia" w:ascii="仿宋_GB2312" w:hAnsi="仿宋_GB2312" w:cs="仿宋_GB2312"/>
          <w:kern w:val="1"/>
          <w:sz w:val="32"/>
          <w:szCs w:val="32"/>
          <w:u w:val="none" w:color="auto"/>
          <w:lang w:val="en-US" w:eastAsia="zh-CN"/>
        </w:rPr>
        <w:t>233</w:t>
      </w:r>
      <w:r>
        <w:rPr>
          <w:rFonts w:hint="eastAsia" w:ascii="仿宋_GB2312" w:hAnsi="仿宋_GB2312" w:cs="仿宋_GB2312"/>
          <w:kern w:val="1"/>
          <w:sz w:val="32"/>
          <w:szCs w:val="32"/>
          <w:u w:val="none" w:color="auto"/>
          <w:lang w:eastAsia="zh-CN"/>
        </w:rPr>
        <w:t>场，其中市投资促进中心和相关部门举办</w:t>
      </w:r>
      <w:r>
        <w:rPr>
          <w:rFonts w:hint="eastAsia" w:ascii="仿宋_GB2312" w:hAnsi="仿宋_GB2312" w:cs="仿宋_GB2312"/>
          <w:kern w:val="1"/>
          <w:sz w:val="32"/>
          <w:szCs w:val="32"/>
          <w:u w:val="none" w:color="auto"/>
          <w:lang w:val="en-US" w:eastAsia="zh-CN"/>
        </w:rPr>
        <w:t>38场、各区（经开区）举办195场。该项目在招商推介活动中起到</w:t>
      </w:r>
      <w:r>
        <w:rPr>
          <w:rFonts w:hint="eastAsia" w:ascii="仿宋_GB2312" w:hAnsi="仿宋_GB2312" w:cs="仿宋_GB2312"/>
          <w:b w:val="0"/>
          <w:bCs w:val="0"/>
          <w:kern w:val="1"/>
          <w:sz w:val="32"/>
          <w:szCs w:val="32"/>
          <w:lang w:val="en-US" w:eastAsia="zh-CN" w:bidi="ar-SA"/>
        </w:rPr>
        <w:t>宣传、展示北京经济形象的作用。</w:t>
      </w:r>
      <w:r>
        <w:rPr>
          <w:rFonts w:hint="eastAsia" w:ascii="仿宋_GB2312" w:hAnsi="仿宋_GB2312" w:eastAsia="仿宋_GB2312" w:cs="仿宋_GB2312"/>
          <w:kern w:val="1"/>
          <w:sz w:val="32"/>
          <w:szCs w:val="32"/>
          <w:lang w:val="en-US" w:eastAsia="zh-CN"/>
        </w:rPr>
        <w:t>但</w:t>
      </w:r>
      <w:r>
        <w:rPr>
          <w:rFonts w:hint="eastAsia" w:ascii="仿宋_GB2312" w:hAnsi="仿宋_GB2312" w:cs="仿宋_GB2312"/>
          <w:kern w:val="1"/>
          <w:sz w:val="32"/>
          <w:szCs w:val="32"/>
          <w:lang w:val="en-US" w:eastAsia="zh-CN"/>
        </w:rPr>
        <w:t>绩效目标设置过于笼统，比如宣传、展示北京经济形象，吸引优质项目落户；为我中心承办、参与的京（境）内外大型投资促进活动提供支持。</w:t>
      </w:r>
      <w:r>
        <w:rPr>
          <w:rFonts w:hint="eastAsia" w:ascii="仿宋_GB2312" w:hAnsi="仿宋_GB2312" w:cs="仿宋_GB2312"/>
          <w:b/>
          <w:bCs/>
          <w:kern w:val="1"/>
          <w:sz w:val="32"/>
          <w:szCs w:val="32"/>
          <w:lang w:val="en-US" w:eastAsia="zh-CN" w:bidi="ar-SA"/>
        </w:rPr>
        <w:t>评价认为</w:t>
      </w:r>
      <w:r>
        <w:rPr>
          <w:rFonts w:hint="eastAsia" w:ascii="仿宋_GB2312" w:hAnsi="仿宋_GB2312" w:cs="仿宋_GB2312"/>
          <w:b w:val="0"/>
          <w:bCs w:val="0"/>
          <w:kern w:val="1"/>
          <w:sz w:val="32"/>
          <w:szCs w:val="32"/>
          <w:lang w:val="en-US" w:eastAsia="zh-CN" w:bidi="ar-SA"/>
        </w:rPr>
        <w:t>，项目产出质量良好，</w:t>
      </w:r>
      <w:r>
        <w:rPr>
          <w:rFonts w:hint="eastAsia" w:ascii="仿宋_GB2312" w:hAnsi="仿宋_GB2312" w:eastAsia="仿宋_GB2312" w:cs="仿宋_GB2312"/>
          <w:kern w:val="1"/>
          <w:sz w:val="32"/>
          <w:szCs w:val="32"/>
          <w:lang w:val="en-US" w:eastAsia="zh-CN"/>
        </w:rPr>
        <w:t>项目</w:t>
      </w:r>
      <w:r>
        <w:rPr>
          <w:rFonts w:hint="eastAsia" w:ascii="仿宋_GB2312" w:hAnsi="仿宋_GB2312" w:cs="仿宋_GB2312"/>
          <w:kern w:val="1"/>
          <w:sz w:val="32"/>
          <w:szCs w:val="32"/>
          <w:lang w:val="en-US" w:eastAsia="zh-CN"/>
        </w:rPr>
        <w:t>指标设置</w:t>
      </w:r>
      <w:r>
        <w:rPr>
          <w:rFonts w:hint="eastAsia" w:ascii="仿宋_GB2312" w:hAnsi="仿宋_GB2312" w:eastAsia="仿宋_GB2312" w:cs="仿宋_GB2312"/>
          <w:kern w:val="1"/>
          <w:sz w:val="32"/>
          <w:szCs w:val="32"/>
          <w:lang w:val="en-US" w:eastAsia="zh-CN"/>
        </w:rPr>
        <w:t>与实际工作内容相关，</w:t>
      </w:r>
      <w:r>
        <w:rPr>
          <w:rFonts w:hint="eastAsia" w:ascii="仿宋_GB2312" w:hAnsi="仿宋_GB2312" w:cs="仿宋_GB2312"/>
          <w:kern w:val="1"/>
          <w:sz w:val="32"/>
          <w:szCs w:val="32"/>
          <w:lang w:val="en-US" w:eastAsia="zh-CN"/>
        </w:rPr>
        <w:t>应</w:t>
      </w:r>
      <w:r>
        <w:rPr>
          <w:rFonts w:hint="eastAsia" w:ascii="仿宋_GB2312" w:hAnsi="仿宋_GB2312" w:eastAsia="仿宋_GB2312" w:cs="仿宋_GB2312"/>
          <w:kern w:val="1"/>
          <w:sz w:val="32"/>
          <w:szCs w:val="32"/>
          <w:lang w:val="en-US" w:eastAsia="zh-CN"/>
        </w:rPr>
        <w:t>在绩效指标明确性、指标设定上</w:t>
      </w:r>
      <w:r>
        <w:rPr>
          <w:rFonts w:hint="eastAsia" w:ascii="仿宋_GB2312" w:hAnsi="仿宋_GB2312" w:cs="仿宋_GB2312"/>
          <w:kern w:val="1"/>
          <w:sz w:val="32"/>
          <w:szCs w:val="32"/>
          <w:lang w:val="en-US" w:eastAsia="zh-CN"/>
        </w:rPr>
        <w:t>继续</w:t>
      </w:r>
      <w:r>
        <w:rPr>
          <w:rFonts w:hint="eastAsia" w:ascii="仿宋_GB2312" w:hAnsi="仿宋_GB2312" w:eastAsia="仿宋_GB2312" w:cs="仿宋_GB2312"/>
          <w:kern w:val="1"/>
          <w:sz w:val="32"/>
          <w:szCs w:val="32"/>
          <w:lang w:val="en-US" w:eastAsia="zh-CN"/>
        </w:rPr>
        <w:t>加强，以进一步增强质量的可衡量性。</w:t>
      </w:r>
    </w:p>
    <w:p w14:paraId="28D9148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3.产出时效</w:t>
      </w:r>
    </w:p>
    <w:p w14:paraId="10E5856D">
      <w:pPr>
        <w:spacing w:line="560" w:lineRule="exact"/>
        <w:ind w:firstLine="640" w:firstLineChars="200"/>
        <w:outlineLvl w:val="9"/>
        <w:rPr>
          <w:rFonts w:hint="eastAsia" w:ascii="仿宋_GB2312" w:hAnsi="仿宋_GB2312" w:eastAsia="仿宋_GB2312" w:cs="仿宋_GB2312"/>
          <w:kern w:val="1"/>
          <w:sz w:val="32"/>
          <w:szCs w:val="32"/>
          <w:u w:val="none"/>
          <w:lang w:val="en-US" w:eastAsia="zh-CN"/>
        </w:rPr>
      </w:pPr>
      <w:r>
        <w:rPr>
          <w:rFonts w:hint="eastAsia" w:ascii="仿宋_GB2312" w:hAnsi="仿宋_GB2312" w:cs="仿宋_GB2312"/>
          <w:kern w:val="1"/>
          <w:sz w:val="32"/>
          <w:szCs w:val="32"/>
          <w:u w:val="none" w:color="auto"/>
          <w:lang w:val="en-US" w:eastAsia="zh-CN"/>
        </w:rPr>
        <w:t>该项目按照合同履行期限分三个阶段：第一阶段（5月底前）策划调研阶段：完成宣传片脚本和场景踩点；第二阶段（6月中旬前)实地拍摄阶段：根据宣传片策划方案，开展实景拍摄；第三阶段（6月底前）后期制作阶段：按照方案要求，制作形成宣传片。根据北京鼎晟成达文化传媒有限公司关于完成2023年北京市招商引资宣传片项目的延期说明，应市投资促进中心要求，需对主体稿件进行较大修改，整体结构和内容，都发生了较大变化，导致项目延期至2023年9月18日交付验收，项目尾款支付时间为2023年11月。</w:t>
      </w:r>
      <w:r>
        <w:rPr>
          <w:rFonts w:hint="eastAsia" w:ascii="仿宋_GB2312" w:hAnsi="仿宋_GB2312" w:eastAsia="仿宋_GB2312" w:cs="仿宋_GB2312"/>
          <w:b/>
          <w:bCs/>
          <w:kern w:val="1"/>
          <w:sz w:val="32"/>
          <w:szCs w:val="32"/>
          <w:u w:val="none"/>
        </w:rPr>
        <w:t>评价认为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kern w:val="1"/>
          <w:sz w:val="32"/>
          <w:szCs w:val="32"/>
          <w:u w:val="none"/>
          <w:lang w:val="en-US" w:eastAsia="zh-CN"/>
        </w:rPr>
        <w:t>资金执行进度符合绩效时效，但为保证宣传片质量反复打磨，导致未按合同约定进度完成，一定程度上影响了产出进度。</w:t>
      </w:r>
    </w:p>
    <w:p w14:paraId="1A98385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rPr>
        <w:t>4.产出成本</w:t>
      </w:r>
    </w:p>
    <w:p w14:paraId="7E3C0C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b/>
          <w:bCs/>
          <w:color w:val="auto"/>
          <w:kern w:val="44"/>
          <w:sz w:val="32"/>
          <w:szCs w:val="32"/>
          <w:lang w:val="en-US" w:eastAsia="zh-CN"/>
        </w:rPr>
      </w:pPr>
      <w:r>
        <w:rPr>
          <w:rFonts w:hint="eastAsia" w:ascii="仿宋_GB2312" w:hAnsi="宋体" w:cs="宋体"/>
          <w:kern w:val="0"/>
          <w:sz w:val="32"/>
          <w:szCs w:val="32"/>
          <w:lang w:val="en-US" w:eastAsia="zh-CN"/>
        </w:rPr>
        <w:t>宣传推广处</w:t>
      </w:r>
      <w:r>
        <w:rPr>
          <w:rFonts w:hint="eastAsia" w:ascii="仿宋_GB2312" w:hAnsi="宋体" w:cs="宋体"/>
          <w:kern w:val="0"/>
          <w:sz w:val="32"/>
          <w:szCs w:val="32"/>
        </w:rPr>
        <w:t>通过</w:t>
      </w:r>
      <w:r>
        <w:rPr>
          <w:rFonts w:hint="eastAsia" w:ascii="仿宋_GB2312" w:hAnsi="宋体" w:cs="宋体"/>
          <w:kern w:val="0"/>
          <w:sz w:val="32"/>
          <w:szCs w:val="32"/>
          <w:lang w:val="en-US" w:eastAsia="zh-CN"/>
        </w:rPr>
        <w:t>竞争性磋商政府采购</w:t>
      </w:r>
      <w:r>
        <w:rPr>
          <w:rFonts w:hint="eastAsia" w:ascii="仿宋_GB2312" w:hAnsi="宋体" w:cs="宋体"/>
          <w:kern w:val="0"/>
          <w:sz w:val="32"/>
          <w:szCs w:val="32"/>
        </w:rPr>
        <w:t>方式确定服务供应商，并严格按照财务管理制度要求进行资金支付，未出现超预算支出的情况</w:t>
      </w:r>
      <w:r>
        <w:rPr>
          <w:rFonts w:hint="eastAsia" w:ascii="仿宋_GB2312" w:hAnsi="宋体" w:cs="宋体"/>
          <w:kern w:val="0"/>
          <w:sz w:val="32"/>
          <w:szCs w:val="32"/>
          <w:lang w:eastAsia="zh-CN"/>
        </w:rPr>
        <w:t>。</w:t>
      </w:r>
      <w:r>
        <w:rPr>
          <w:rFonts w:hint="eastAsia" w:ascii="仿宋_GB2312" w:hAnsi="宋体" w:cs="宋体"/>
          <w:kern w:val="0"/>
          <w:sz w:val="32"/>
          <w:szCs w:val="32"/>
          <w:lang w:val="en-US" w:eastAsia="zh-CN"/>
        </w:rPr>
        <w:t>但项目成本核算仅通过政府采购的结果来测算成本依据不足。</w:t>
      </w:r>
      <w:r>
        <w:rPr>
          <w:rFonts w:hint="eastAsia" w:ascii="仿宋_GB2312" w:hAnsi="宋体" w:cs="宋体"/>
          <w:b/>
          <w:bCs/>
          <w:kern w:val="0"/>
          <w:sz w:val="32"/>
          <w:szCs w:val="32"/>
          <w:lang w:val="en-US" w:eastAsia="zh-CN"/>
        </w:rPr>
        <w:t>评价认为</w:t>
      </w:r>
      <w:r>
        <w:rPr>
          <w:rFonts w:hint="eastAsia" w:ascii="仿宋_GB2312" w:hAnsi="宋体" w:cs="宋体"/>
          <w:kern w:val="0"/>
          <w:sz w:val="32"/>
          <w:szCs w:val="32"/>
          <w:lang w:val="en-US" w:eastAsia="zh-CN"/>
        </w:rPr>
        <w:t>，该</w:t>
      </w:r>
      <w:r>
        <w:rPr>
          <w:rFonts w:hint="eastAsia" w:ascii="仿宋_GB2312" w:hAnsi="宋体" w:cs="宋体"/>
          <w:kern w:val="0"/>
          <w:sz w:val="32"/>
          <w:szCs w:val="32"/>
        </w:rPr>
        <w:t>项目成本控制措施较有效</w:t>
      </w:r>
      <w:r>
        <w:rPr>
          <w:rFonts w:hint="eastAsia" w:ascii="仿宋_GB2312" w:hAnsi="宋体" w:cs="宋体"/>
          <w:kern w:val="0"/>
          <w:sz w:val="32"/>
          <w:szCs w:val="32"/>
          <w:lang w:eastAsia="zh-CN"/>
        </w:rPr>
        <w:t>，</w:t>
      </w:r>
      <w:r>
        <w:rPr>
          <w:rFonts w:hint="eastAsia" w:ascii="仿宋_GB2312" w:hAnsi="宋体" w:cs="宋体"/>
          <w:kern w:val="0"/>
          <w:sz w:val="32"/>
          <w:szCs w:val="32"/>
          <w:lang w:val="en-US" w:eastAsia="zh-CN"/>
        </w:rPr>
        <w:t>但仍需提前调研市场价格细化成本</w:t>
      </w:r>
      <w:r>
        <w:rPr>
          <w:rFonts w:hint="eastAsia" w:ascii="仿宋_GB2312" w:hAnsi="宋体" w:cs="宋体"/>
          <w:kern w:val="0"/>
          <w:sz w:val="32"/>
          <w:szCs w:val="32"/>
        </w:rPr>
        <w:t>。</w:t>
      </w:r>
    </w:p>
    <w:p w14:paraId="7F5E992F">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outlineLvl w:val="1"/>
        <w:rPr>
          <w:rFonts w:hint="eastAsia" w:ascii="楷体_GB2312" w:hAnsi="楷体_GB2312" w:eastAsia="楷体_GB2312" w:cs="楷体_GB2312"/>
          <w:b/>
          <w:bCs/>
          <w:kern w:val="44"/>
          <w:sz w:val="32"/>
          <w:szCs w:val="32"/>
          <w:lang w:val="en-US" w:eastAsia="zh-CN"/>
        </w:rPr>
      </w:pPr>
      <w:bookmarkStart w:id="53" w:name="_Toc12414"/>
      <w:bookmarkStart w:id="54" w:name="_Toc167231989"/>
      <w:bookmarkStart w:id="55" w:name="_Toc5588"/>
      <w:bookmarkStart w:id="56" w:name="_Toc11159"/>
      <w:bookmarkStart w:id="57" w:name="_Toc26040"/>
      <w:bookmarkStart w:id="58" w:name="_Toc15076"/>
      <w:r>
        <w:rPr>
          <w:rFonts w:hint="eastAsia" w:ascii="楷体_GB2312" w:hAnsi="楷体_GB2312" w:eastAsia="楷体_GB2312" w:cs="楷体_GB2312"/>
          <w:b/>
          <w:bCs/>
          <w:kern w:val="44"/>
          <w:sz w:val="32"/>
          <w:szCs w:val="32"/>
          <w:lang w:val="en-US" w:eastAsia="zh-CN"/>
        </w:rPr>
        <w:t>（四）项目效益情况</w:t>
      </w:r>
      <w:bookmarkEnd w:id="53"/>
      <w:bookmarkEnd w:id="54"/>
      <w:bookmarkEnd w:id="55"/>
      <w:bookmarkEnd w:id="56"/>
      <w:bookmarkEnd w:id="57"/>
      <w:bookmarkEnd w:id="58"/>
    </w:p>
    <w:p w14:paraId="33F70C4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cs="仿宋_GB2312"/>
          <w:bCs/>
          <w:color w:val="auto"/>
          <w:kern w:val="44"/>
          <w:sz w:val="32"/>
          <w:szCs w:val="32"/>
          <w:highlight w:val="none"/>
          <w:lang w:val="en-US" w:eastAsia="zh-CN"/>
        </w:rPr>
      </w:pPr>
      <w:r>
        <w:rPr>
          <w:rFonts w:hint="eastAsia" w:ascii="仿宋_GB2312" w:hAnsi="仿宋_GB2312" w:eastAsia="仿宋_GB2312" w:cs="仿宋_GB2312"/>
          <w:bCs/>
          <w:color w:val="auto"/>
          <w:kern w:val="44"/>
          <w:sz w:val="32"/>
          <w:szCs w:val="32"/>
        </w:rPr>
        <w:t>项目</w:t>
      </w:r>
      <w:r>
        <w:rPr>
          <w:rFonts w:hint="eastAsia" w:ascii="仿宋_GB2312" w:hAnsi="仿宋_GB2312" w:eastAsia="仿宋_GB2312" w:cs="仿宋_GB2312"/>
          <w:bCs/>
          <w:color w:val="auto"/>
          <w:kern w:val="44"/>
          <w:sz w:val="32"/>
          <w:szCs w:val="32"/>
          <w:lang w:val="en-US" w:eastAsia="zh-CN"/>
        </w:rPr>
        <w:t>效益</w:t>
      </w:r>
      <w:r>
        <w:rPr>
          <w:rFonts w:hint="eastAsia" w:ascii="仿宋_GB2312" w:hAnsi="仿宋_GB2312" w:eastAsia="仿宋_GB2312" w:cs="仿宋_GB2312"/>
          <w:bCs/>
          <w:color w:val="auto"/>
          <w:kern w:val="44"/>
          <w:sz w:val="32"/>
          <w:szCs w:val="32"/>
        </w:rPr>
        <w:t>指标，满分</w:t>
      </w:r>
      <w:r>
        <w:rPr>
          <w:rFonts w:hint="eastAsia" w:ascii="仿宋_GB2312" w:hAnsi="仿宋_GB2312" w:eastAsia="仿宋_GB2312" w:cs="仿宋_GB2312"/>
          <w:bCs/>
          <w:color w:val="auto"/>
          <w:kern w:val="44"/>
          <w:sz w:val="32"/>
          <w:szCs w:val="32"/>
          <w:lang w:val="en-US" w:eastAsia="zh-CN"/>
        </w:rPr>
        <w:t>30.00</w:t>
      </w:r>
      <w:r>
        <w:rPr>
          <w:rFonts w:hint="eastAsia" w:ascii="仿宋_GB2312" w:hAnsi="仿宋_GB2312" w:eastAsia="仿宋_GB2312" w:cs="仿宋_GB2312"/>
          <w:bCs/>
          <w:color w:val="auto"/>
          <w:kern w:val="44"/>
          <w:sz w:val="32"/>
          <w:szCs w:val="32"/>
        </w:rPr>
        <w:t>分，评价得</w:t>
      </w:r>
      <w:r>
        <w:rPr>
          <w:rFonts w:hint="eastAsia" w:ascii="仿宋_GB2312" w:hAnsi="仿宋_GB2312" w:eastAsia="仿宋_GB2312" w:cs="仿宋_GB2312"/>
          <w:bCs/>
          <w:color w:val="auto"/>
          <w:kern w:val="44"/>
          <w:sz w:val="32"/>
          <w:szCs w:val="32"/>
          <w:highlight w:val="none"/>
        </w:rPr>
        <w:t>分为</w:t>
      </w:r>
      <w:r>
        <w:rPr>
          <w:rFonts w:hint="eastAsia" w:ascii="仿宋_GB2312" w:hAnsi="仿宋_GB2312" w:eastAsia="仿宋_GB2312" w:cs="仿宋_GB2312"/>
          <w:bCs/>
          <w:kern w:val="44"/>
          <w:sz w:val="32"/>
          <w:szCs w:val="32"/>
          <w:highlight w:val="none"/>
          <w:lang w:val="en-US" w:eastAsia="zh-CN"/>
        </w:rPr>
        <w:t>25.80</w:t>
      </w:r>
      <w:r>
        <w:rPr>
          <w:rFonts w:hint="eastAsia" w:ascii="仿宋_GB2312" w:hAnsi="仿宋_GB2312" w:eastAsia="仿宋_GB2312" w:cs="仿宋_GB2312"/>
          <w:bCs/>
          <w:kern w:val="44"/>
          <w:sz w:val="32"/>
          <w:szCs w:val="32"/>
          <w:highlight w:val="none"/>
        </w:rPr>
        <w:t>分。</w:t>
      </w:r>
      <w:r>
        <w:rPr>
          <w:rFonts w:hint="eastAsia" w:ascii="仿宋_GB2312" w:hAnsi="仿宋_GB2312" w:cs="仿宋_GB2312"/>
          <w:bCs/>
          <w:color w:val="auto"/>
          <w:kern w:val="44"/>
          <w:sz w:val="32"/>
          <w:szCs w:val="32"/>
          <w:highlight w:val="none"/>
          <w:lang w:val="en-US" w:eastAsia="zh-CN"/>
        </w:rPr>
        <w:t>项目效益指标各指标得分情况及扣分原因见表7.</w:t>
      </w:r>
    </w:p>
    <w:p w14:paraId="62347890">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default" w:ascii="仿宋_GB2312" w:hAnsi="仿宋_GB2312" w:cs="仿宋_GB2312"/>
          <w:bCs/>
          <w:color w:val="auto"/>
          <w:kern w:val="44"/>
          <w:sz w:val="32"/>
          <w:szCs w:val="32"/>
          <w:highlight w:val="none"/>
          <w:lang w:val="en-US" w:eastAsia="zh-CN"/>
        </w:rPr>
      </w:pPr>
      <w:r>
        <w:rPr>
          <w:rFonts w:hint="eastAsia" w:ascii="仿宋_GB2312" w:hAnsi="仿宋_GB2312" w:cs="仿宋_GB2312"/>
          <w:bCs/>
          <w:color w:val="auto"/>
          <w:kern w:val="44"/>
          <w:sz w:val="32"/>
          <w:szCs w:val="32"/>
          <w:highlight w:val="none"/>
          <w:lang w:val="en-US" w:eastAsia="zh-CN"/>
        </w:rPr>
        <w:t>表7.项目效益各指标得分情况表</w:t>
      </w:r>
    </w:p>
    <w:tbl>
      <w:tblPr>
        <w:tblStyle w:val="15"/>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707"/>
        <w:gridCol w:w="1861"/>
        <w:gridCol w:w="1440"/>
        <w:gridCol w:w="1520"/>
        <w:gridCol w:w="2460"/>
      </w:tblGrid>
      <w:tr w14:paraId="0554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2" w:hRule="atLeast"/>
          <w:jc w:val="center"/>
        </w:trPr>
        <w:tc>
          <w:tcPr>
            <w:tcW w:w="1707" w:type="dxa"/>
            <w:shd w:val="clear" w:color="auto" w:fill="auto"/>
            <w:noWrap w:val="0"/>
            <w:vAlign w:val="center"/>
          </w:tcPr>
          <w:p w14:paraId="321CDFD0">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eastAsia="zh-CN"/>
              </w:rPr>
            </w:pPr>
            <w:r>
              <w:rPr>
                <w:rFonts w:hint="eastAsia" w:asciiTheme="majorEastAsia" w:hAnsiTheme="majorEastAsia" w:eastAsiaTheme="majorEastAsia" w:cstheme="majorEastAsia"/>
                <w:b/>
                <w:bCs w:val="0"/>
                <w:sz w:val="24"/>
                <w:szCs w:val="24"/>
                <w:highlight w:val="none"/>
                <w:lang w:val="en-US" w:eastAsia="zh-CN"/>
              </w:rPr>
              <w:t>二级</w:t>
            </w:r>
          </w:p>
        </w:tc>
        <w:tc>
          <w:tcPr>
            <w:tcW w:w="1861" w:type="dxa"/>
            <w:shd w:val="clear" w:color="auto" w:fill="auto"/>
            <w:noWrap w:val="0"/>
            <w:vAlign w:val="center"/>
          </w:tcPr>
          <w:p w14:paraId="27A0F57D">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三级指标</w:t>
            </w:r>
          </w:p>
        </w:tc>
        <w:tc>
          <w:tcPr>
            <w:tcW w:w="1440" w:type="dxa"/>
            <w:shd w:val="clear" w:color="auto" w:fill="auto"/>
            <w:noWrap w:val="0"/>
            <w:vAlign w:val="center"/>
          </w:tcPr>
          <w:p w14:paraId="4AF5724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eastAsia="zh-CN"/>
              </w:rPr>
            </w:pPr>
            <w:r>
              <w:rPr>
                <w:rFonts w:hint="eastAsia" w:asciiTheme="majorEastAsia" w:hAnsiTheme="majorEastAsia" w:eastAsiaTheme="majorEastAsia" w:cstheme="majorEastAsia"/>
                <w:b/>
                <w:bCs w:val="0"/>
                <w:sz w:val="24"/>
                <w:szCs w:val="24"/>
                <w:highlight w:val="none"/>
                <w:lang w:val="en-US" w:eastAsia="zh-CN"/>
              </w:rPr>
              <w:t>分值</w:t>
            </w:r>
          </w:p>
        </w:tc>
        <w:tc>
          <w:tcPr>
            <w:tcW w:w="1520" w:type="dxa"/>
            <w:shd w:val="clear" w:color="auto" w:fill="auto"/>
            <w:noWrap w:val="0"/>
            <w:vAlign w:val="center"/>
          </w:tcPr>
          <w:p w14:paraId="297B3B71">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评价得分</w:t>
            </w:r>
          </w:p>
        </w:tc>
        <w:tc>
          <w:tcPr>
            <w:tcW w:w="2460" w:type="dxa"/>
            <w:shd w:val="clear" w:color="auto" w:fill="auto"/>
            <w:noWrap w:val="0"/>
            <w:vAlign w:val="center"/>
          </w:tcPr>
          <w:p w14:paraId="1796EC68">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bCs w:val="0"/>
                <w:sz w:val="24"/>
                <w:szCs w:val="24"/>
                <w:highlight w:val="none"/>
                <w:lang w:val="en-US" w:eastAsia="zh-CN"/>
              </w:rPr>
            </w:pPr>
            <w:r>
              <w:rPr>
                <w:rFonts w:hint="eastAsia" w:asciiTheme="majorEastAsia" w:hAnsiTheme="majorEastAsia" w:eastAsiaTheme="majorEastAsia" w:cstheme="majorEastAsia"/>
                <w:b/>
                <w:bCs w:val="0"/>
                <w:sz w:val="24"/>
                <w:szCs w:val="24"/>
                <w:highlight w:val="none"/>
                <w:lang w:val="en-US" w:eastAsia="zh-CN"/>
              </w:rPr>
              <w:t>扣分原因</w:t>
            </w:r>
          </w:p>
        </w:tc>
      </w:tr>
      <w:tr w14:paraId="66A8F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restart"/>
            <w:shd w:val="clear" w:color="auto" w:fill="auto"/>
            <w:noWrap w:val="0"/>
            <w:vAlign w:val="center"/>
          </w:tcPr>
          <w:p w14:paraId="45520A99">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default"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项目效益</w:t>
            </w:r>
          </w:p>
        </w:tc>
        <w:tc>
          <w:tcPr>
            <w:tcW w:w="1861" w:type="dxa"/>
            <w:shd w:val="clear" w:color="auto" w:fill="auto"/>
            <w:noWrap w:val="0"/>
            <w:vAlign w:val="center"/>
          </w:tcPr>
          <w:p w14:paraId="219C39CB">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社会</w:t>
            </w:r>
            <w:r>
              <w:rPr>
                <w:rFonts w:hint="eastAsia" w:asciiTheme="majorEastAsia" w:hAnsiTheme="majorEastAsia" w:eastAsiaTheme="majorEastAsia" w:cstheme="majorEastAsia"/>
                <w:color w:val="000000"/>
                <w:kern w:val="0"/>
                <w:sz w:val="24"/>
              </w:rPr>
              <w:t>效益</w:t>
            </w:r>
          </w:p>
        </w:tc>
        <w:tc>
          <w:tcPr>
            <w:tcW w:w="1440" w:type="dxa"/>
            <w:shd w:val="clear" w:color="auto" w:fill="auto"/>
            <w:noWrap w:val="0"/>
            <w:vAlign w:val="center"/>
          </w:tcPr>
          <w:p w14:paraId="4E08050E">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0D74E6E3">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8.4</w:t>
            </w:r>
          </w:p>
        </w:tc>
        <w:tc>
          <w:tcPr>
            <w:tcW w:w="2460" w:type="dxa"/>
            <w:shd w:val="clear" w:color="auto" w:fill="auto"/>
            <w:noWrap w:val="0"/>
            <w:vAlign w:val="center"/>
          </w:tcPr>
          <w:p w14:paraId="74476957">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可衡量资料不足</w:t>
            </w:r>
          </w:p>
        </w:tc>
      </w:tr>
      <w:tr w14:paraId="4407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373139AE">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p>
        </w:tc>
        <w:tc>
          <w:tcPr>
            <w:tcW w:w="1861" w:type="dxa"/>
            <w:shd w:val="clear" w:color="auto" w:fill="auto"/>
            <w:noWrap w:val="0"/>
            <w:vAlign w:val="center"/>
          </w:tcPr>
          <w:p w14:paraId="4203C9FE">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可持续影响</w:t>
            </w:r>
          </w:p>
        </w:tc>
        <w:tc>
          <w:tcPr>
            <w:tcW w:w="1440" w:type="dxa"/>
            <w:shd w:val="clear" w:color="auto" w:fill="auto"/>
            <w:noWrap w:val="0"/>
            <w:vAlign w:val="center"/>
          </w:tcPr>
          <w:p w14:paraId="712CA722">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5FFD0FAC">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i w:val="0"/>
                <w:iCs w:val="0"/>
                <w:color w:val="000000"/>
                <w:kern w:val="0"/>
                <w:sz w:val="24"/>
                <w:szCs w:val="24"/>
                <w:u w:val="none"/>
                <w:lang w:val="en-US" w:eastAsia="zh-CN" w:bidi="ar"/>
              </w:rPr>
            </w:pPr>
            <w:r>
              <w:rPr>
                <w:rFonts w:hint="eastAsia" w:asciiTheme="majorEastAsia" w:hAnsiTheme="majorEastAsia" w:eastAsiaTheme="majorEastAsia" w:cstheme="majorEastAsia"/>
                <w:color w:val="000000"/>
                <w:kern w:val="0"/>
                <w:sz w:val="24"/>
                <w:lang w:val="en-US" w:eastAsia="zh-CN"/>
              </w:rPr>
              <w:t>8.2</w:t>
            </w:r>
          </w:p>
        </w:tc>
        <w:tc>
          <w:tcPr>
            <w:tcW w:w="2460" w:type="dxa"/>
            <w:shd w:val="clear" w:color="auto" w:fill="auto"/>
            <w:noWrap w:val="0"/>
            <w:vAlign w:val="center"/>
          </w:tcPr>
          <w:p w14:paraId="0C261893">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作为连续项目，保持了影响的可持续性，但在对外招商推介活动中影响力体现的还不够。</w:t>
            </w:r>
          </w:p>
        </w:tc>
      </w:tr>
      <w:tr w14:paraId="77AB2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2" w:hRule="atLeast"/>
          <w:jc w:val="center"/>
        </w:trPr>
        <w:tc>
          <w:tcPr>
            <w:tcW w:w="1707" w:type="dxa"/>
            <w:vMerge w:val="continue"/>
            <w:shd w:val="clear" w:color="auto" w:fill="auto"/>
            <w:noWrap w:val="0"/>
            <w:vAlign w:val="center"/>
          </w:tcPr>
          <w:p w14:paraId="24A10993">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rPr>
                <w:rFonts w:hint="eastAsia" w:asciiTheme="majorEastAsia" w:hAnsiTheme="majorEastAsia" w:eastAsiaTheme="majorEastAsia" w:cstheme="majorEastAsia"/>
                <w:b w:val="0"/>
                <w:bCs/>
                <w:sz w:val="24"/>
                <w:szCs w:val="24"/>
                <w:highlight w:val="none"/>
                <w:lang w:val="en-US" w:eastAsia="zh-CN"/>
              </w:rPr>
            </w:pPr>
          </w:p>
        </w:tc>
        <w:tc>
          <w:tcPr>
            <w:tcW w:w="1861" w:type="dxa"/>
            <w:shd w:val="clear" w:color="auto" w:fill="auto"/>
            <w:noWrap w:val="0"/>
            <w:vAlign w:val="center"/>
          </w:tcPr>
          <w:p w14:paraId="7E9C251C">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rPr>
              <w:t>满意度</w:t>
            </w:r>
          </w:p>
        </w:tc>
        <w:tc>
          <w:tcPr>
            <w:tcW w:w="1440" w:type="dxa"/>
            <w:shd w:val="clear" w:color="auto" w:fill="auto"/>
            <w:noWrap w:val="0"/>
            <w:vAlign w:val="center"/>
          </w:tcPr>
          <w:p w14:paraId="65AFCDBB">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10</w:t>
            </w:r>
          </w:p>
        </w:tc>
        <w:tc>
          <w:tcPr>
            <w:tcW w:w="1520" w:type="dxa"/>
            <w:shd w:val="clear" w:color="auto" w:fill="auto"/>
            <w:noWrap w:val="0"/>
            <w:vAlign w:val="center"/>
          </w:tcPr>
          <w:p w14:paraId="1385A502">
            <w:pPr>
              <w:keepNext w:val="0"/>
              <w:keepLines w:val="0"/>
              <w:pageBreakBefore w:val="0"/>
              <w:widowControl w:val="0"/>
              <w:kinsoku/>
              <w:wordWrap/>
              <w:overflowPunct/>
              <w:topLinePunct w:val="0"/>
              <w:autoSpaceDE/>
              <w:autoSpaceDN/>
              <w:bidi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color w:val="000000"/>
                <w:kern w:val="0"/>
                <w:sz w:val="24"/>
                <w:lang w:val="en-US" w:eastAsia="zh-CN"/>
              </w:rPr>
              <w:t>9.2</w:t>
            </w:r>
          </w:p>
        </w:tc>
        <w:tc>
          <w:tcPr>
            <w:tcW w:w="2460" w:type="dxa"/>
            <w:shd w:val="clear" w:color="auto" w:fill="auto"/>
            <w:noWrap w:val="0"/>
            <w:vAlign w:val="center"/>
          </w:tcPr>
          <w:p w14:paraId="09797F99">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应加强服务对象满意度的调查数据归集整理。</w:t>
            </w:r>
          </w:p>
        </w:tc>
      </w:tr>
      <w:tr w14:paraId="48A16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9" w:hRule="atLeast"/>
          <w:jc w:val="center"/>
        </w:trPr>
        <w:tc>
          <w:tcPr>
            <w:tcW w:w="3568" w:type="dxa"/>
            <w:gridSpan w:val="2"/>
            <w:shd w:val="clear" w:color="auto" w:fill="auto"/>
            <w:noWrap w:val="0"/>
            <w:vAlign w:val="center"/>
          </w:tcPr>
          <w:p w14:paraId="1D8EEDAF">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项目效益</w:t>
            </w:r>
          </w:p>
        </w:tc>
        <w:tc>
          <w:tcPr>
            <w:tcW w:w="1440" w:type="dxa"/>
            <w:shd w:val="clear" w:color="auto" w:fill="auto"/>
            <w:noWrap w:val="0"/>
            <w:vAlign w:val="center"/>
          </w:tcPr>
          <w:p w14:paraId="1E57BBEE">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30</w:t>
            </w:r>
          </w:p>
        </w:tc>
        <w:tc>
          <w:tcPr>
            <w:tcW w:w="1520" w:type="dxa"/>
            <w:shd w:val="clear" w:color="auto" w:fill="auto"/>
            <w:noWrap w:val="0"/>
            <w:vAlign w:val="center"/>
          </w:tcPr>
          <w:p w14:paraId="6728D417">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default" w:asciiTheme="majorEastAsia" w:hAnsiTheme="majorEastAsia" w:eastAsiaTheme="majorEastAsia" w:cstheme="majorEastAsia"/>
                <w:b w:val="0"/>
                <w:bCs/>
                <w:sz w:val="24"/>
                <w:szCs w:val="24"/>
                <w:highlight w:val="none"/>
                <w:lang w:val="en-US" w:eastAsia="zh-CN"/>
              </w:rPr>
            </w:pPr>
            <w:r>
              <w:rPr>
                <w:rFonts w:hint="eastAsia" w:asciiTheme="majorEastAsia" w:hAnsiTheme="majorEastAsia" w:eastAsiaTheme="majorEastAsia" w:cstheme="majorEastAsia"/>
                <w:b w:val="0"/>
                <w:bCs/>
                <w:sz w:val="24"/>
                <w:szCs w:val="24"/>
                <w:highlight w:val="none"/>
                <w:lang w:val="en-US" w:eastAsia="zh-CN"/>
              </w:rPr>
              <w:t>25.80</w:t>
            </w:r>
          </w:p>
        </w:tc>
        <w:tc>
          <w:tcPr>
            <w:tcW w:w="2460" w:type="dxa"/>
            <w:shd w:val="clear" w:color="auto" w:fill="auto"/>
            <w:noWrap w:val="0"/>
            <w:vAlign w:val="center"/>
          </w:tcPr>
          <w:p w14:paraId="5449A24D">
            <w:pPr>
              <w:keepNext w:val="0"/>
              <w:keepLines w:val="0"/>
              <w:pageBreakBefore w:val="0"/>
              <w:widowControl w:val="0"/>
              <w:kinsoku/>
              <w:wordWrap/>
              <w:overflowPunct/>
              <w:topLinePunct w:val="0"/>
              <w:autoSpaceDE/>
              <w:autoSpaceDN/>
              <w:bidi w:val="0"/>
              <w:adjustRightInd w:val="0"/>
              <w:snapToGrid w:val="0"/>
              <w:spacing w:line="560" w:lineRule="exact"/>
              <w:jc w:val="center"/>
              <w:rPr>
                <w:rFonts w:hint="eastAsia" w:asciiTheme="majorEastAsia" w:hAnsiTheme="majorEastAsia" w:eastAsiaTheme="majorEastAsia" w:cstheme="majorEastAsia"/>
                <w:b w:val="0"/>
                <w:bCs/>
                <w:sz w:val="24"/>
                <w:szCs w:val="24"/>
                <w:highlight w:val="none"/>
                <w:lang w:val="en-US" w:eastAsia="zh-CN"/>
              </w:rPr>
            </w:pPr>
          </w:p>
        </w:tc>
      </w:tr>
    </w:tbl>
    <w:p w14:paraId="6B0B15F0">
      <w:pPr>
        <w:pStyle w:val="1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Cs/>
          <w:kern w:val="44"/>
          <w:sz w:val="32"/>
          <w:szCs w:val="32"/>
          <w:highlight w:val="none"/>
        </w:rPr>
      </w:pPr>
    </w:p>
    <w:p w14:paraId="0A4432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bidi="ar-SA"/>
        </w:rPr>
        <w:t>1.</w:t>
      </w:r>
      <w:r>
        <w:rPr>
          <w:rFonts w:hint="eastAsia" w:ascii="仿宋_GB2312" w:hAnsi="仿宋_GB2312" w:cs="仿宋_GB2312"/>
          <w:b/>
          <w:bCs/>
          <w:color w:val="auto"/>
          <w:kern w:val="44"/>
          <w:sz w:val="32"/>
          <w:szCs w:val="32"/>
          <w:lang w:val="en-US" w:eastAsia="zh-CN"/>
        </w:rPr>
        <w:t>社会</w:t>
      </w:r>
      <w:r>
        <w:rPr>
          <w:rFonts w:hint="eastAsia" w:ascii="仿宋_GB2312" w:hAnsi="仿宋_GB2312" w:eastAsia="仿宋_GB2312" w:cs="仿宋_GB2312"/>
          <w:b/>
          <w:bCs/>
          <w:color w:val="auto"/>
          <w:kern w:val="44"/>
          <w:sz w:val="32"/>
          <w:szCs w:val="32"/>
          <w:lang w:val="en-US" w:eastAsia="zh-CN"/>
        </w:rPr>
        <w:t>效益</w:t>
      </w:r>
    </w:p>
    <w:p w14:paraId="496002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宋体" w:cs="宋体"/>
          <w:kern w:val="0"/>
          <w:sz w:val="32"/>
          <w:szCs w:val="32"/>
          <w:lang w:val="en-US" w:eastAsia="zh-CN"/>
        </w:rPr>
      </w:pPr>
      <w:r>
        <w:rPr>
          <w:rFonts w:hint="eastAsia" w:ascii="仿宋_GB2312" w:hAnsi="宋体" w:cs="宋体"/>
          <w:kern w:val="0"/>
          <w:sz w:val="32"/>
          <w:szCs w:val="32"/>
          <w:lang w:val="en-US" w:eastAsia="zh-CN"/>
        </w:rPr>
        <w:t>该项目的实施，能够展示首都投资促进形象，推动北京经济发展；营造良好的营商环境；强化首都投资促进系统的工作统筹。</w:t>
      </w:r>
      <w:r>
        <w:rPr>
          <w:rFonts w:hint="eastAsia" w:ascii="仿宋_GB2312" w:hAnsi="宋体" w:cs="宋体"/>
          <w:b/>
          <w:bCs/>
          <w:kern w:val="0"/>
          <w:sz w:val="32"/>
          <w:szCs w:val="32"/>
          <w:lang w:val="en-US" w:eastAsia="zh-CN"/>
        </w:rPr>
        <w:t>评价认为</w:t>
      </w:r>
      <w:r>
        <w:rPr>
          <w:rFonts w:hint="eastAsia" w:ascii="仿宋_GB2312" w:hAnsi="宋体" w:cs="宋体"/>
          <w:kern w:val="0"/>
          <w:sz w:val="32"/>
          <w:szCs w:val="32"/>
          <w:lang w:val="en-US" w:eastAsia="zh-CN"/>
        </w:rPr>
        <w:t>，该项目社会效益完成情况良好，但可衡量资料不足。</w:t>
      </w:r>
    </w:p>
    <w:p w14:paraId="3B24F4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2"/>
        <w:rPr>
          <w:rFonts w:hint="default" w:ascii="仿宋_GB2312" w:hAnsi="仿宋_GB2312" w:eastAsia="仿宋_GB2312" w:cs="仿宋_GB2312"/>
          <w:b/>
          <w:bCs/>
          <w:color w:val="auto"/>
          <w:kern w:val="44"/>
          <w:sz w:val="32"/>
          <w:szCs w:val="32"/>
          <w:lang w:val="en-US" w:eastAsia="zh-CN"/>
        </w:rPr>
      </w:pPr>
      <w:r>
        <w:rPr>
          <w:rFonts w:hint="eastAsia" w:ascii="仿宋_GB2312" w:hAnsi="仿宋_GB2312" w:eastAsia="仿宋_GB2312" w:cs="仿宋_GB2312"/>
          <w:b/>
          <w:bCs/>
          <w:color w:val="auto"/>
          <w:kern w:val="44"/>
          <w:sz w:val="32"/>
          <w:szCs w:val="32"/>
          <w:lang w:val="en-US" w:eastAsia="zh-CN" w:bidi="ar-SA"/>
        </w:rPr>
        <w:t>2.</w:t>
      </w:r>
      <w:r>
        <w:rPr>
          <w:rFonts w:hint="eastAsia" w:ascii="仿宋_GB2312" w:hAnsi="仿宋_GB2312" w:cs="仿宋_GB2312"/>
          <w:b/>
          <w:bCs/>
          <w:color w:val="auto"/>
          <w:kern w:val="44"/>
          <w:sz w:val="32"/>
          <w:szCs w:val="32"/>
          <w:lang w:val="en-US" w:eastAsia="zh-CN"/>
        </w:rPr>
        <w:t>可持续影响</w:t>
      </w:r>
    </w:p>
    <w:p w14:paraId="345102B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cs="仿宋_GB2312"/>
          <w:b/>
          <w:bCs/>
          <w:color w:val="auto"/>
          <w:kern w:val="44"/>
          <w:sz w:val="32"/>
          <w:szCs w:val="32"/>
          <w:lang w:val="en-US" w:eastAsia="zh-CN"/>
        </w:rPr>
      </w:pPr>
      <w:r>
        <w:rPr>
          <w:rFonts w:hint="eastAsia" w:ascii="仿宋_GB2312" w:hAnsi="仿宋_GB2312" w:cs="仿宋_GB2312"/>
          <w:b w:val="0"/>
          <w:bCs w:val="0"/>
          <w:kern w:val="2"/>
          <w:sz w:val="32"/>
          <w:szCs w:val="32"/>
          <w:lang w:val="en-US" w:eastAsia="zh-CN" w:bidi="ar-SA"/>
        </w:rPr>
        <w:t>宣传片</w:t>
      </w:r>
      <w:r>
        <w:rPr>
          <w:rFonts w:hint="eastAsia" w:ascii="仿宋_GB2312" w:hAnsi="仿宋_GB2312" w:eastAsia="仿宋_GB2312" w:cs="仿宋_GB2312"/>
          <w:b w:val="0"/>
          <w:bCs w:val="0"/>
          <w:kern w:val="2"/>
          <w:sz w:val="32"/>
          <w:szCs w:val="32"/>
          <w:lang w:val="en-US" w:eastAsia="zh-CN" w:bidi="ar-SA"/>
        </w:rPr>
        <w:t>契合首都大格局大视野，紧密围绕“四个中心”定位，向投资者描绘北京市近年来取得的整体成就和未来蓝图。</w:t>
      </w:r>
      <w:r>
        <w:rPr>
          <w:rFonts w:hint="eastAsia" w:ascii="仿宋_GB2312" w:hAnsi="仿宋_GB2312" w:cs="仿宋_GB2312"/>
          <w:b w:val="0"/>
          <w:bCs w:val="0"/>
          <w:kern w:val="2"/>
          <w:sz w:val="32"/>
          <w:szCs w:val="32"/>
          <w:lang w:val="en-US" w:eastAsia="zh-CN" w:bidi="ar-SA"/>
        </w:rPr>
        <w:t>该项目的实施</w:t>
      </w:r>
      <w:r>
        <w:rPr>
          <w:rFonts w:hint="eastAsia" w:ascii="仿宋_GB2312" w:hAnsi="仿宋_GB2312" w:eastAsia="仿宋_GB2312" w:cs="仿宋_GB2312"/>
          <w:b w:val="0"/>
          <w:bCs w:val="0"/>
          <w:kern w:val="2"/>
          <w:sz w:val="32"/>
          <w:szCs w:val="32"/>
          <w:lang w:val="en-US" w:eastAsia="zh-CN" w:bidi="ar-SA"/>
        </w:rPr>
        <w:t>不仅是为了展示北京的繁荣与发展，更是要强调北京招商引资所带来的可持续影响。</w:t>
      </w:r>
      <w:r>
        <w:rPr>
          <w:rFonts w:hint="eastAsia" w:ascii="仿宋_GB2312" w:hAnsi="仿宋_GB2312" w:cs="仿宋_GB2312"/>
          <w:b/>
          <w:bCs/>
          <w:kern w:val="2"/>
          <w:sz w:val="32"/>
          <w:szCs w:val="32"/>
          <w:lang w:val="en-US" w:eastAsia="zh-CN" w:bidi="ar-SA"/>
        </w:rPr>
        <w:t>评价认为</w:t>
      </w:r>
      <w:r>
        <w:rPr>
          <w:rFonts w:hint="eastAsia" w:ascii="仿宋_GB2312" w:hAnsi="仿宋_GB2312" w:cs="仿宋_GB2312"/>
          <w:b w:val="0"/>
          <w:bCs w:val="0"/>
          <w:kern w:val="2"/>
          <w:sz w:val="32"/>
          <w:szCs w:val="32"/>
          <w:lang w:val="en-US" w:eastAsia="zh-CN" w:bidi="ar-SA"/>
        </w:rPr>
        <w:t>，</w:t>
      </w:r>
      <w:r>
        <w:rPr>
          <w:rFonts w:hint="eastAsia" w:ascii="仿宋_GB2312" w:hAnsi="仿宋_GB2312" w:eastAsia="仿宋_GB2312" w:cs="仿宋_GB2312"/>
          <w:sz w:val="32"/>
          <w:szCs w:val="32"/>
          <w:lang w:val="en-US" w:eastAsia="zh-CN"/>
        </w:rPr>
        <w:t>该项目作为连续项目，保持了影响的可持续性，但在对外招商推介活动中这种影响力体现的还不够。</w:t>
      </w:r>
    </w:p>
    <w:p w14:paraId="6F9F833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仿宋_GB2312" w:hAnsi="仿宋_GB2312" w:eastAsia="仿宋_GB2312" w:cs="仿宋_GB2312"/>
          <w:b/>
          <w:bCs/>
          <w:color w:val="auto"/>
          <w:kern w:val="44"/>
          <w:sz w:val="32"/>
          <w:szCs w:val="32"/>
          <w:lang w:val="en-US" w:eastAsia="zh-CN"/>
        </w:rPr>
      </w:pPr>
      <w:r>
        <w:rPr>
          <w:rFonts w:hint="eastAsia" w:ascii="仿宋_GB2312" w:hAnsi="仿宋_GB2312" w:cs="仿宋_GB2312"/>
          <w:b/>
          <w:bCs/>
          <w:color w:val="auto"/>
          <w:kern w:val="44"/>
          <w:sz w:val="32"/>
          <w:szCs w:val="32"/>
          <w:lang w:val="en-US" w:eastAsia="zh-CN"/>
        </w:rPr>
        <w:t>3</w:t>
      </w:r>
      <w:r>
        <w:rPr>
          <w:rFonts w:hint="default" w:ascii="仿宋_GB2312" w:hAnsi="仿宋_GB2312" w:eastAsia="仿宋_GB2312" w:cs="仿宋_GB2312"/>
          <w:b/>
          <w:bCs/>
          <w:color w:val="auto"/>
          <w:kern w:val="44"/>
          <w:sz w:val="32"/>
          <w:szCs w:val="32"/>
          <w:lang w:val="en-US" w:eastAsia="zh-CN"/>
        </w:rPr>
        <w:t>.</w:t>
      </w:r>
      <w:r>
        <w:rPr>
          <w:rFonts w:hint="eastAsia" w:ascii="仿宋_GB2312" w:hAnsi="仿宋_GB2312" w:eastAsia="仿宋_GB2312" w:cs="仿宋_GB2312"/>
          <w:b/>
          <w:bCs/>
          <w:color w:val="auto"/>
          <w:kern w:val="44"/>
          <w:sz w:val="32"/>
          <w:szCs w:val="32"/>
          <w:lang w:val="en-US" w:eastAsia="zh-CN"/>
        </w:rPr>
        <w:t>满意度</w:t>
      </w:r>
    </w:p>
    <w:p w14:paraId="7EF77C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cs="仿宋_GB2312"/>
          <w:b w:val="0"/>
          <w:bCs w:val="0"/>
          <w:kern w:val="2"/>
          <w:sz w:val="32"/>
          <w:szCs w:val="32"/>
          <w:lang w:val="en-US" w:eastAsia="zh-CN" w:bidi="ar-SA"/>
        </w:rPr>
      </w:pPr>
      <w:bookmarkStart w:id="59" w:name="_Toc30099"/>
      <w:bookmarkStart w:id="60" w:name="_Toc21506"/>
      <w:bookmarkStart w:id="61" w:name="_Toc1873"/>
      <w:bookmarkStart w:id="62" w:name="_Toc26128"/>
      <w:bookmarkStart w:id="63" w:name="_Toc1503101612"/>
      <w:bookmarkStart w:id="64" w:name="_Toc21886"/>
      <w:r>
        <w:rPr>
          <w:rFonts w:hint="eastAsia" w:ascii="仿宋_GB2312" w:hAnsi="仿宋_GB2312" w:cs="仿宋_GB2312"/>
          <w:b w:val="0"/>
          <w:bCs w:val="0"/>
          <w:kern w:val="2"/>
          <w:sz w:val="32"/>
          <w:szCs w:val="32"/>
          <w:lang w:val="en-US" w:eastAsia="zh-CN" w:bidi="ar-SA"/>
        </w:rPr>
        <w:t>该项目的实施</w:t>
      </w:r>
      <w:r>
        <w:rPr>
          <w:rFonts w:hint="default" w:ascii="仿宋_GB2312" w:hAnsi="仿宋_GB2312" w:eastAsia="仿宋_GB2312" w:cs="仿宋_GB2312"/>
          <w:b w:val="0"/>
          <w:bCs w:val="0"/>
          <w:kern w:val="1"/>
          <w:sz w:val="32"/>
          <w:szCs w:val="32"/>
          <w:highlight w:val="none"/>
          <w:lang w:val="en-US" w:eastAsia="zh-CN" w:bidi="ar-SA"/>
        </w:rPr>
        <w:t>基本符合年初绩效目标的要求，</w:t>
      </w:r>
      <w:r>
        <w:rPr>
          <w:rFonts w:hint="eastAsia" w:ascii="仿宋_GB2312" w:hAnsi="仿宋_GB2312" w:cs="仿宋_GB2312"/>
          <w:b w:val="0"/>
          <w:bCs w:val="0"/>
          <w:kern w:val="1"/>
          <w:sz w:val="32"/>
          <w:szCs w:val="32"/>
          <w:highlight w:val="none"/>
          <w:lang w:val="en-US" w:eastAsia="zh-CN" w:bidi="ar-SA"/>
        </w:rPr>
        <w:t>投资人、企业</w:t>
      </w:r>
      <w:r>
        <w:rPr>
          <w:rFonts w:hint="default" w:ascii="仿宋_GB2312" w:hAnsi="仿宋_GB2312" w:eastAsia="仿宋_GB2312" w:cs="仿宋_GB2312"/>
          <w:b w:val="0"/>
          <w:bCs w:val="0"/>
          <w:kern w:val="1"/>
          <w:sz w:val="32"/>
          <w:szCs w:val="32"/>
          <w:highlight w:val="none"/>
          <w:lang w:val="en-US" w:eastAsia="zh-CN" w:bidi="ar-SA"/>
        </w:rPr>
        <w:t>满意度较高。</w:t>
      </w:r>
      <w:r>
        <w:rPr>
          <w:rFonts w:hint="eastAsia" w:ascii="仿宋_GB2312" w:hAnsi="仿宋_GB2312" w:cs="仿宋_GB2312"/>
          <w:b w:val="0"/>
          <w:bCs w:val="0"/>
          <w:kern w:val="1"/>
          <w:sz w:val="32"/>
          <w:szCs w:val="32"/>
          <w:highlight w:val="none"/>
          <w:lang w:val="en-US" w:eastAsia="zh-CN" w:bidi="ar-SA"/>
        </w:rPr>
        <w:t>未收集保存与宣传片直接或间接可衡量、可查阅的满意度资料。</w:t>
      </w:r>
      <w:r>
        <w:rPr>
          <w:rFonts w:hint="eastAsia" w:ascii="仿宋_GB2312" w:hAnsi="仿宋_GB2312" w:cs="仿宋_GB2312"/>
          <w:b/>
          <w:bCs/>
          <w:kern w:val="1"/>
          <w:sz w:val="32"/>
          <w:szCs w:val="32"/>
          <w:highlight w:val="none"/>
          <w:lang w:val="en-US" w:eastAsia="zh-CN" w:bidi="ar-SA"/>
        </w:rPr>
        <w:t>评价认为</w:t>
      </w:r>
      <w:r>
        <w:rPr>
          <w:rFonts w:hint="eastAsia" w:ascii="仿宋_GB2312" w:hAnsi="仿宋_GB2312" w:cs="仿宋_GB2312"/>
          <w:b w:val="0"/>
          <w:bCs w:val="0"/>
          <w:kern w:val="1"/>
          <w:sz w:val="32"/>
          <w:szCs w:val="32"/>
          <w:highlight w:val="none"/>
          <w:lang w:val="en-US" w:eastAsia="zh-CN" w:bidi="ar-SA"/>
        </w:rPr>
        <w:t>，基本实现服务满意度指标，但应加强服务对象满意度的调查数据归集整理。</w:t>
      </w:r>
    </w:p>
    <w:p w14:paraId="40D36C7B">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cs="Times New Roman"/>
          <w:b w:val="0"/>
          <w:bCs w:val="0"/>
          <w:sz w:val="32"/>
          <w:szCs w:val="32"/>
          <w:lang w:val="en-US" w:eastAsia="zh-CN"/>
        </w:rPr>
      </w:pPr>
      <w:r>
        <w:rPr>
          <w:rFonts w:hint="eastAsia" w:ascii="黑体" w:hAnsi="黑体" w:eastAsia="黑体" w:cs="Times New Roman"/>
          <w:b w:val="0"/>
          <w:bCs w:val="0"/>
          <w:sz w:val="32"/>
          <w:szCs w:val="32"/>
          <w:lang w:val="en-US" w:eastAsia="zh-CN"/>
        </w:rPr>
        <w:t>五、主要经验及做法、存在的主要问题</w:t>
      </w:r>
      <w:bookmarkEnd w:id="59"/>
      <w:bookmarkEnd w:id="60"/>
      <w:bookmarkEnd w:id="61"/>
      <w:bookmarkEnd w:id="62"/>
      <w:r>
        <w:rPr>
          <w:rFonts w:hint="eastAsia" w:ascii="黑体" w:hAnsi="黑体" w:eastAsia="黑体" w:cs="Times New Roman"/>
          <w:b w:val="0"/>
          <w:bCs w:val="0"/>
          <w:sz w:val="32"/>
          <w:szCs w:val="32"/>
          <w:lang w:val="en-US" w:eastAsia="zh-CN"/>
        </w:rPr>
        <w:t>及原因分析</w:t>
      </w:r>
      <w:bookmarkEnd w:id="63"/>
      <w:bookmarkEnd w:id="64"/>
    </w:p>
    <w:p w14:paraId="7BF3EDE4">
      <w:pPr>
        <w:pStyle w:val="3"/>
        <w:keepNext w:val="0"/>
        <w:keepLines w:val="0"/>
        <w:pageBreakBefore w:val="0"/>
        <w:widowControl w:val="0"/>
        <w:kinsoku/>
        <w:wordWrap/>
        <w:overflowPunct/>
        <w:topLinePunct w:val="0"/>
        <w:autoSpaceDE/>
        <w:autoSpaceDN/>
        <w:bidi w:val="0"/>
        <w:spacing w:before="0" w:after="0" w:line="560" w:lineRule="exact"/>
        <w:ind w:firstLine="643" w:firstLineChars="200"/>
        <w:rPr>
          <w:rFonts w:hint="eastAsia" w:ascii="楷体_GB2312" w:hAnsi="楷体_GB2312" w:eastAsia="楷体_GB2312" w:cs="楷体_GB2312"/>
          <w:b/>
          <w:bCs/>
          <w:kern w:val="44"/>
          <w:sz w:val="32"/>
          <w:szCs w:val="32"/>
          <w:lang w:val="en-US" w:eastAsia="zh-CN"/>
        </w:rPr>
      </w:pPr>
      <w:bookmarkStart w:id="65" w:name="_Toc4037"/>
      <w:bookmarkStart w:id="66" w:name="_Toc581763211"/>
      <w:r>
        <w:rPr>
          <w:rFonts w:hint="eastAsia" w:ascii="楷体_GB2312" w:hAnsi="楷体_GB2312" w:eastAsia="楷体_GB2312" w:cs="楷体_GB2312"/>
          <w:b/>
          <w:bCs/>
          <w:kern w:val="44"/>
          <w:sz w:val="32"/>
          <w:szCs w:val="32"/>
          <w:lang w:val="en-US" w:eastAsia="zh-CN"/>
        </w:rPr>
        <w:t>（一）主要经验及做法</w:t>
      </w:r>
      <w:bookmarkEnd w:id="65"/>
      <w:bookmarkEnd w:id="66"/>
    </w:p>
    <w:p w14:paraId="1A540F0A">
      <w:pPr>
        <w:pStyle w:val="1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outlineLvl w:val="9"/>
        <w:rPr>
          <w:rFonts w:hint="default" w:ascii="仿宋_GB2312" w:hAnsi="仿宋_GB2312" w:eastAsia="仿宋_GB2312" w:cs="仿宋_GB2312"/>
          <w:b w:val="0"/>
          <w:bCs w:val="0"/>
          <w:kern w:val="1"/>
          <w:sz w:val="32"/>
          <w:szCs w:val="32"/>
          <w:highlight w:val="none"/>
          <w:lang w:val="en-US" w:eastAsia="zh-CN" w:bidi="ar-SA"/>
        </w:rPr>
      </w:pPr>
      <w:bookmarkStart w:id="67" w:name="_Toc1129205934"/>
      <w:bookmarkStart w:id="68" w:name="_Toc14022"/>
      <w:r>
        <w:rPr>
          <w:rFonts w:hint="eastAsia" w:ascii="仿宋_GB2312" w:hAnsi="仿宋_GB2312" w:eastAsia="仿宋_GB2312" w:cs="仿宋_GB2312"/>
          <w:b w:val="0"/>
          <w:bCs w:val="0"/>
          <w:kern w:val="1"/>
          <w:sz w:val="32"/>
          <w:szCs w:val="32"/>
          <w:highlight w:val="none"/>
          <w:lang w:val="en-US" w:eastAsia="zh-CN" w:bidi="ar-SA"/>
        </w:rPr>
        <w:t>市投资促进中心开展预算</w:t>
      </w:r>
      <w:r>
        <w:rPr>
          <w:rFonts w:hint="default" w:ascii="仿宋_GB2312" w:hAnsi="仿宋_GB2312" w:eastAsia="仿宋_GB2312" w:cs="仿宋_GB2312"/>
          <w:b w:val="0"/>
          <w:bCs w:val="0"/>
          <w:kern w:val="1"/>
          <w:sz w:val="32"/>
          <w:szCs w:val="32"/>
          <w:highlight w:val="none"/>
          <w:lang w:val="en-US" w:eastAsia="zh-CN" w:bidi="ar-SA"/>
        </w:rPr>
        <w:t>绩效评价工作，</w:t>
      </w:r>
      <w:r>
        <w:rPr>
          <w:rFonts w:hint="eastAsia" w:ascii="仿宋_GB2312" w:hAnsi="仿宋_GB2312" w:eastAsia="仿宋_GB2312" w:cs="仿宋_GB2312"/>
          <w:b w:val="0"/>
          <w:bCs w:val="0"/>
          <w:kern w:val="1"/>
          <w:sz w:val="32"/>
          <w:szCs w:val="32"/>
          <w:highlight w:val="none"/>
          <w:lang w:val="en-US" w:eastAsia="zh-CN" w:bidi="ar-SA"/>
        </w:rPr>
        <w:t>得到领导高度重视，要求</w:t>
      </w:r>
      <w:r>
        <w:rPr>
          <w:rFonts w:hint="default" w:ascii="仿宋_GB2312" w:hAnsi="仿宋_GB2312" w:eastAsia="仿宋_GB2312" w:cs="仿宋_GB2312"/>
          <w:b w:val="0"/>
          <w:bCs w:val="0"/>
          <w:kern w:val="1"/>
          <w:sz w:val="32"/>
          <w:szCs w:val="32"/>
          <w:highlight w:val="none"/>
          <w:lang w:val="en-US" w:eastAsia="zh-CN" w:bidi="ar-SA"/>
        </w:rPr>
        <w:t>牢固树立预算绩效管理意识，</w:t>
      </w:r>
      <w:r>
        <w:rPr>
          <w:rFonts w:hint="eastAsia" w:ascii="仿宋_GB2312" w:hAnsi="仿宋_GB2312" w:eastAsia="仿宋_GB2312" w:cs="仿宋_GB2312"/>
          <w:b w:val="0"/>
          <w:bCs w:val="0"/>
          <w:kern w:val="1"/>
          <w:sz w:val="32"/>
          <w:szCs w:val="32"/>
          <w:highlight w:val="none"/>
          <w:lang w:val="en-US" w:eastAsia="zh-CN" w:bidi="ar-SA"/>
        </w:rPr>
        <w:t>督促各相关部门在评价工作过程中积极配合，保障绩效自评工作有效开展。</w:t>
      </w:r>
    </w:p>
    <w:p w14:paraId="7E38FDCB">
      <w:pPr>
        <w:pStyle w:val="3"/>
        <w:keepNext w:val="0"/>
        <w:keepLines w:val="0"/>
        <w:pageBreakBefore w:val="0"/>
        <w:widowControl w:val="0"/>
        <w:kinsoku/>
        <w:wordWrap/>
        <w:overflowPunct/>
        <w:topLinePunct w:val="0"/>
        <w:autoSpaceDE/>
        <w:autoSpaceDN/>
        <w:bidi w:val="0"/>
        <w:spacing w:before="0" w:after="0" w:line="560" w:lineRule="exact"/>
        <w:ind w:firstLine="643" w:firstLineChars="200"/>
        <w:rPr>
          <w:rFonts w:hint="eastAsia" w:ascii="楷体_GB2312" w:hAnsi="楷体_GB2312" w:eastAsia="楷体_GB2312" w:cs="楷体_GB2312"/>
          <w:bCs/>
          <w:kern w:val="44"/>
          <w:sz w:val="32"/>
          <w:szCs w:val="32"/>
        </w:rPr>
      </w:pPr>
      <w:r>
        <w:rPr>
          <w:rFonts w:hint="eastAsia" w:ascii="楷体_GB2312" w:hAnsi="楷体_GB2312" w:eastAsia="楷体_GB2312" w:cs="楷体_GB2312"/>
          <w:b/>
          <w:bCs/>
          <w:kern w:val="44"/>
          <w:sz w:val="32"/>
          <w:szCs w:val="32"/>
          <w:lang w:val="en-US" w:eastAsia="zh-CN"/>
        </w:rPr>
        <w:t>（二）存在的主要问题及原因分析</w:t>
      </w:r>
      <w:bookmarkEnd w:id="67"/>
      <w:bookmarkEnd w:id="68"/>
    </w:p>
    <w:p w14:paraId="7F06D6D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val="0"/>
          <w:color w:val="auto"/>
          <w:kern w:val="44"/>
          <w:sz w:val="32"/>
          <w:szCs w:val="32"/>
          <w:highlight w:val="none"/>
          <w:lang w:val="en-US" w:eastAsia="zh-CN"/>
        </w:rPr>
      </w:pPr>
      <w:bookmarkStart w:id="69" w:name="_Toc17417"/>
      <w:bookmarkStart w:id="70" w:name="_Toc945129639"/>
      <w:bookmarkStart w:id="71" w:name="_Toc455492213"/>
      <w:bookmarkStart w:id="72" w:name="_Toc10723"/>
      <w:bookmarkStart w:id="73" w:name="_Toc2866"/>
      <w:bookmarkStart w:id="74" w:name="_Toc18619"/>
      <w:bookmarkStart w:id="75" w:name="_Toc2533"/>
      <w:bookmarkStart w:id="76" w:name="_Toc8158017"/>
      <w:bookmarkStart w:id="77" w:name="_Toc25543"/>
      <w:bookmarkStart w:id="78" w:name="_Toc2806"/>
      <w:bookmarkStart w:id="79" w:name="_Hlk8149924"/>
      <w:bookmarkStart w:id="80" w:name="_Toc1675556343"/>
      <w:r>
        <w:rPr>
          <w:rFonts w:hint="eastAsia" w:ascii="仿宋_GB2312" w:hAnsi="仿宋_GB2312" w:eastAsia="仿宋_GB2312" w:cs="仿宋_GB2312"/>
          <w:b/>
          <w:bCs w:val="0"/>
          <w:color w:val="auto"/>
          <w:kern w:val="44"/>
          <w:sz w:val="32"/>
          <w:szCs w:val="32"/>
          <w:highlight w:val="none"/>
          <w:lang w:val="en-US" w:eastAsia="zh-CN"/>
        </w:rPr>
        <w:t>1.绩效目标设置细化程度有待进一步提升。</w:t>
      </w:r>
      <w:bookmarkEnd w:id="69"/>
      <w:bookmarkEnd w:id="70"/>
    </w:p>
    <w:p w14:paraId="79735B89">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44"/>
          <w:sz w:val="32"/>
          <w:szCs w:val="32"/>
          <w:highlight w:val="none"/>
          <w:lang w:val="en-US" w:eastAsia="zh-CN"/>
        </w:rPr>
      </w:pPr>
      <w:r>
        <w:rPr>
          <w:rFonts w:hint="eastAsia" w:ascii="仿宋_GB2312" w:hAnsi="楷体" w:eastAsia="仿宋_GB2312"/>
          <w:bCs/>
          <w:kern w:val="0"/>
          <w:sz w:val="32"/>
          <w:szCs w:val="28"/>
        </w:rPr>
        <w:t>产出绩效指标设置</w:t>
      </w:r>
      <w:r>
        <w:rPr>
          <w:rFonts w:hint="eastAsia" w:ascii="仿宋_GB2312" w:hAnsi="楷体" w:eastAsia="仿宋_GB2312" w:cs="Times New Roman"/>
          <w:bCs/>
          <w:kern w:val="0"/>
          <w:sz w:val="32"/>
          <w:szCs w:val="28"/>
          <w:lang w:val="en-US" w:eastAsia="zh-CN"/>
        </w:rPr>
        <w:t>明确性不</w:t>
      </w:r>
      <w:r>
        <w:rPr>
          <w:rFonts w:hint="eastAsia" w:ascii="仿宋_GB2312" w:hAnsi="楷体" w:cs="Times New Roman"/>
          <w:bCs/>
          <w:kern w:val="0"/>
          <w:sz w:val="32"/>
          <w:szCs w:val="28"/>
          <w:lang w:val="en-US" w:eastAsia="zh-CN"/>
        </w:rPr>
        <w:t>够</w:t>
      </w:r>
      <w:r>
        <w:rPr>
          <w:rFonts w:hint="eastAsia" w:ascii="仿宋_GB2312" w:hAnsi="楷体" w:eastAsia="仿宋_GB2312" w:cs="Times New Roman"/>
          <w:bCs/>
          <w:kern w:val="0"/>
          <w:sz w:val="32"/>
          <w:szCs w:val="28"/>
          <w:lang w:val="en-US" w:eastAsia="zh-CN"/>
        </w:rPr>
        <w:t>，指标设定较为笼统，不够细化</w:t>
      </w:r>
      <w:r>
        <w:rPr>
          <w:rFonts w:hint="eastAsia" w:ascii="仿宋_GB2312" w:hAnsi="楷体" w:cs="Times New Roman"/>
          <w:bCs/>
          <w:kern w:val="0"/>
          <w:sz w:val="32"/>
          <w:szCs w:val="28"/>
          <w:lang w:val="en-US" w:eastAsia="zh-CN"/>
        </w:rPr>
        <w:t>、量化</w:t>
      </w:r>
      <w:r>
        <w:rPr>
          <w:rFonts w:hint="eastAsia" w:ascii="仿宋_GB2312" w:hAnsi="楷体" w:eastAsia="仿宋_GB2312" w:cs="Times New Roman"/>
          <w:bCs/>
          <w:kern w:val="0"/>
          <w:sz w:val="32"/>
          <w:szCs w:val="28"/>
          <w:lang w:val="en-US" w:eastAsia="zh-CN"/>
        </w:rPr>
        <w:t>，可衡量性不足</w:t>
      </w:r>
      <w:r>
        <w:rPr>
          <w:rFonts w:hint="eastAsia" w:ascii="仿宋_GB2312" w:hAnsi="楷体" w:eastAsia="仿宋_GB2312"/>
          <w:bCs/>
          <w:kern w:val="0"/>
          <w:sz w:val="32"/>
          <w:szCs w:val="28"/>
        </w:rPr>
        <w:t>，产出数量与需求设置存在</w:t>
      </w:r>
      <w:r>
        <w:rPr>
          <w:rFonts w:hint="eastAsia" w:ascii="仿宋_GB2312" w:hAnsi="楷体"/>
          <w:bCs/>
          <w:kern w:val="0"/>
          <w:sz w:val="32"/>
          <w:szCs w:val="28"/>
          <w:lang w:eastAsia="zh-CN"/>
        </w:rPr>
        <w:t>一定</w:t>
      </w:r>
      <w:r>
        <w:rPr>
          <w:rFonts w:hint="eastAsia" w:ascii="仿宋_GB2312" w:hAnsi="楷体" w:eastAsia="仿宋_GB2312"/>
          <w:bCs/>
          <w:kern w:val="0"/>
          <w:sz w:val="32"/>
          <w:szCs w:val="28"/>
        </w:rPr>
        <w:t>差异，产出质量达标率、完成及时性虽按期完成，但</w:t>
      </w:r>
      <w:r>
        <w:rPr>
          <w:rFonts w:hint="eastAsia" w:ascii="仿宋_GB2312" w:hAnsi="楷体"/>
          <w:bCs/>
          <w:kern w:val="0"/>
          <w:sz w:val="32"/>
          <w:szCs w:val="28"/>
          <w:lang w:eastAsia="zh-CN"/>
        </w:rPr>
        <w:t>数量指标变化的充足性支撑依据不够充分</w:t>
      </w:r>
      <w:r>
        <w:rPr>
          <w:rFonts w:hint="eastAsia" w:ascii="仿宋_GB2312" w:hAnsi="楷体" w:eastAsia="仿宋_GB2312"/>
          <w:bCs/>
          <w:kern w:val="0"/>
          <w:sz w:val="32"/>
          <w:szCs w:val="28"/>
        </w:rPr>
        <w:t>。</w:t>
      </w:r>
      <w:r>
        <w:rPr>
          <w:rFonts w:hint="eastAsia" w:ascii="仿宋_GB2312" w:hAnsi="楷体" w:eastAsia="仿宋_GB2312" w:cs="Times New Roman"/>
          <w:bCs/>
          <w:kern w:val="0"/>
          <w:sz w:val="32"/>
          <w:szCs w:val="28"/>
          <w:lang w:val="en-US" w:eastAsia="zh-CN"/>
        </w:rPr>
        <w:t>如产出数量指标</w:t>
      </w:r>
      <w:r>
        <w:rPr>
          <w:rFonts w:hint="eastAsia" w:ascii="仿宋_GB2312" w:hAnsi="楷体" w:cs="Times New Roman"/>
          <w:bCs/>
          <w:kern w:val="0"/>
          <w:sz w:val="32"/>
          <w:szCs w:val="28"/>
          <w:lang w:val="en-US" w:eastAsia="zh-CN"/>
        </w:rPr>
        <w:t>中</w:t>
      </w:r>
      <w:r>
        <w:rPr>
          <w:rFonts w:hint="eastAsia" w:ascii="仿宋_GB2312" w:hAnsi="楷体" w:eastAsia="仿宋_GB2312" w:cs="Times New Roman"/>
          <w:bCs/>
          <w:kern w:val="0"/>
          <w:sz w:val="32"/>
          <w:szCs w:val="28"/>
          <w:lang w:val="en-US" w:eastAsia="zh-CN"/>
        </w:rPr>
        <w:t>设</w:t>
      </w:r>
      <w:r>
        <w:rPr>
          <w:rFonts w:hint="eastAsia" w:ascii="仿宋_GB2312" w:hAnsi="仿宋_GB2312" w:eastAsia="仿宋_GB2312" w:cs="仿宋_GB2312"/>
          <w:bCs/>
          <w:color w:val="auto"/>
          <w:kern w:val="44"/>
          <w:sz w:val="32"/>
          <w:szCs w:val="32"/>
          <w:highlight w:val="none"/>
          <w:lang w:val="en-US" w:eastAsia="zh-CN"/>
        </w:rPr>
        <w:t>置“短片=2分钟、长片=8分钟”与采购需求3分钟和6分钟不一致；质量指标与产出内容对应性不够充分；时效指标未结合</w:t>
      </w:r>
      <w:r>
        <w:rPr>
          <w:rFonts w:hint="eastAsia" w:ascii="仿宋_GB2312" w:hAnsi="仿宋_GB2312" w:cs="仿宋_GB2312"/>
          <w:bCs/>
          <w:color w:val="auto"/>
          <w:kern w:val="44"/>
          <w:sz w:val="32"/>
          <w:szCs w:val="32"/>
          <w:highlight w:val="none"/>
          <w:lang w:val="en-US" w:eastAsia="zh-CN"/>
        </w:rPr>
        <w:t>合同约定的</w:t>
      </w:r>
      <w:r>
        <w:rPr>
          <w:rFonts w:hint="eastAsia" w:ascii="仿宋_GB2312" w:hAnsi="仿宋_GB2312" w:eastAsia="仿宋_GB2312" w:cs="仿宋_GB2312"/>
          <w:bCs/>
          <w:color w:val="auto"/>
          <w:kern w:val="44"/>
          <w:sz w:val="32"/>
          <w:szCs w:val="32"/>
          <w:highlight w:val="none"/>
          <w:lang w:val="en-US" w:eastAsia="zh-CN"/>
        </w:rPr>
        <w:t>关键性时间节点进行设置。</w:t>
      </w:r>
    </w:p>
    <w:p w14:paraId="7F1CA0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val="0"/>
          <w:color w:val="auto"/>
          <w:kern w:val="44"/>
          <w:sz w:val="32"/>
          <w:szCs w:val="32"/>
          <w:highlight w:val="none"/>
          <w:lang w:val="en-US" w:eastAsia="zh-CN"/>
        </w:rPr>
      </w:pPr>
      <w:bookmarkStart w:id="81" w:name="_Toc29033"/>
      <w:r>
        <w:rPr>
          <w:rFonts w:hint="eastAsia" w:ascii="仿宋_GB2312" w:hAnsi="仿宋_GB2312" w:eastAsia="仿宋_GB2312" w:cs="仿宋_GB2312"/>
          <w:b/>
          <w:bCs w:val="0"/>
          <w:color w:val="auto"/>
          <w:kern w:val="44"/>
          <w:sz w:val="32"/>
          <w:szCs w:val="32"/>
          <w:highlight w:val="none"/>
          <w:lang w:val="en-US" w:eastAsia="zh-CN"/>
        </w:rPr>
        <w:t>2.项目效果实现程度呈现不够充分。</w:t>
      </w:r>
      <w:bookmarkEnd w:id="81"/>
    </w:p>
    <w:p w14:paraId="0855F0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仿宋_GB2312" w:hAnsi="仿宋_GB2312" w:eastAsia="仿宋_GB2312" w:cs="仿宋_GB2312"/>
          <w:bCs/>
          <w:color w:val="auto"/>
          <w:kern w:val="44"/>
          <w:sz w:val="32"/>
          <w:szCs w:val="32"/>
          <w:highlight w:val="none"/>
          <w:lang w:val="en-US" w:eastAsia="zh-CN"/>
        </w:rPr>
        <w:t>项目绩效资料归集不够完整，项目绩效</w:t>
      </w:r>
      <w:r>
        <w:rPr>
          <w:rFonts w:hint="eastAsia" w:ascii="仿宋_GB2312" w:hAnsi="楷体" w:eastAsia="仿宋_GB2312"/>
          <w:bCs/>
          <w:kern w:val="0"/>
          <w:sz w:val="32"/>
          <w:szCs w:val="28"/>
        </w:rPr>
        <w:t>呈现</w:t>
      </w:r>
      <w:r>
        <w:rPr>
          <w:rFonts w:hint="eastAsia" w:ascii="仿宋_GB2312" w:hAnsi="楷体" w:eastAsia="仿宋_GB2312"/>
          <w:bCs/>
          <w:kern w:val="0"/>
          <w:sz w:val="32"/>
          <w:szCs w:val="28"/>
          <w:lang w:val="en-US" w:eastAsia="zh-CN"/>
        </w:rPr>
        <w:t>不够充分</w:t>
      </w:r>
      <w:r>
        <w:rPr>
          <w:rFonts w:hint="eastAsia" w:ascii="仿宋_GB2312" w:hAnsi="楷体" w:eastAsia="仿宋_GB2312"/>
          <w:bCs/>
          <w:kern w:val="0"/>
          <w:sz w:val="32"/>
          <w:szCs w:val="28"/>
        </w:rPr>
        <w:t>。该项目有效保障了</w:t>
      </w:r>
      <w:r>
        <w:rPr>
          <w:rFonts w:hint="eastAsia" w:ascii="仿宋_GB2312" w:hAnsi="楷体"/>
          <w:bCs/>
          <w:kern w:val="0"/>
          <w:sz w:val="32"/>
          <w:szCs w:val="28"/>
          <w:lang w:val="en-US" w:eastAsia="zh-CN"/>
        </w:rPr>
        <w:t>市投资促进中心对外招商推介活动中使用，较好的宣传了北京市的营商环境</w:t>
      </w:r>
      <w:r>
        <w:rPr>
          <w:rFonts w:hint="eastAsia" w:ascii="仿宋_GB2312" w:hAnsi="楷体" w:eastAsia="仿宋_GB2312"/>
          <w:bCs/>
          <w:kern w:val="0"/>
          <w:sz w:val="32"/>
          <w:szCs w:val="28"/>
        </w:rPr>
        <w:t>，对于</w:t>
      </w:r>
      <w:r>
        <w:rPr>
          <w:rFonts w:hint="eastAsia" w:ascii="仿宋_GB2312" w:hAnsi="楷体" w:eastAsia="仿宋_GB2312"/>
          <w:bCs/>
          <w:kern w:val="0"/>
          <w:sz w:val="32"/>
          <w:szCs w:val="28"/>
          <w:lang w:val="en-US" w:eastAsia="zh-CN"/>
        </w:rPr>
        <w:t>项目管理成果证明</w:t>
      </w:r>
      <w:r>
        <w:rPr>
          <w:rFonts w:hint="eastAsia" w:ascii="仿宋_GB2312" w:hAnsi="楷体" w:eastAsia="仿宋_GB2312"/>
          <w:bCs/>
          <w:kern w:val="0"/>
          <w:sz w:val="32"/>
          <w:szCs w:val="28"/>
        </w:rPr>
        <w:t>材料</w:t>
      </w:r>
      <w:r>
        <w:rPr>
          <w:rFonts w:hint="eastAsia" w:ascii="仿宋_GB2312" w:hAnsi="楷体" w:eastAsia="仿宋_GB2312"/>
          <w:bCs/>
          <w:kern w:val="0"/>
          <w:sz w:val="32"/>
          <w:szCs w:val="28"/>
          <w:lang w:val="en-US" w:eastAsia="zh-CN"/>
        </w:rPr>
        <w:t>归集</w:t>
      </w:r>
      <w:r>
        <w:rPr>
          <w:rFonts w:hint="eastAsia" w:ascii="仿宋_GB2312" w:hAnsi="楷体"/>
          <w:bCs/>
          <w:kern w:val="0"/>
          <w:sz w:val="32"/>
          <w:szCs w:val="28"/>
          <w:lang w:val="en-US" w:eastAsia="zh-CN"/>
        </w:rPr>
        <w:t>不够多</w:t>
      </w:r>
      <w:r>
        <w:rPr>
          <w:rFonts w:hint="eastAsia" w:ascii="仿宋_GB2312" w:hAnsi="楷体" w:eastAsia="仿宋_GB2312"/>
          <w:bCs/>
          <w:kern w:val="0"/>
          <w:sz w:val="32"/>
          <w:szCs w:val="28"/>
        </w:rPr>
        <w:t>，项目实施的效益</w:t>
      </w:r>
      <w:r>
        <w:rPr>
          <w:rFonts w:hint="eastAsia" w:ascii="仿宋_GB2312" w:hAnsi="楷体"/>
          <w:bCs/>
          <w:kern w:val="0"/>
          <w:sz w:val="32"/>
          <w:szCs w:val="28"/>
          <w:lang w:eastAsia="zh-CN"/>
        </w:rPr>
        <w:t>实现</w:t>
      </w:r>
      <w:r>
        <w:rPr>
          <w:rFonts w:hint="eastAsia" w:ascii="仿宋_GB2312" w:hAnsi="楷体" w:eastAsia="仿宋_GB2312"/>
          <w:bCs/>
          <w:kern w:val="0"/>
          <w:sz w:val="32"/>
          <w:szCs w:val="28"/>
        </w:rPr>
        <w:t>效果</w:t>
      </w:r>
      <w:r>
        <w:rPr>
          <w:rFonts w:hint="eastAsia" w:ascii="仿宋_GB2312" w:hAnsi="楷体"/>
          <w:bCs/>
          <w:kern w:val="0"/>
          <w:sz w:val="32"/>
          <w:szCs w:val="28"/>
          <w:lang w:eastAsia="zh-CN"/>
        </w:rPr>
        <w:t>不够充分</w:t>
      </w:r>
      <w:r>
        <w:rPr>
          <w:rFonts w:hint="eastAsia" w:ascii="仿宋_GB2312" w:hAnsi="楷体" w:eastAsia="仿宋_GB2312"/>
          <w:bCs/>
          <w:kern w:val="0"/>
          <w:sz w:val="32"/>
          <w:szCs w:val="28"/>
        </w:rPr>
        <w:t>。</w:t>
      </w:r>
      <w:r>
        <w:rPr>
          <w:rFonts w:hint="eastAsia" w:ascii="仿宋_GB2312" w:hAnsi="仿宋_GB2312" w:eastAsia="仿宋_GB2312" w:cs="仿宋_GB2312"/>
          <w:bCs/>
          <w:color w:val="auto"/>
          <w:kern w:val="44"/>
          <w:sz w:val="32"/>
          <w:szCs w:val="32"/>
          <w:highlight w:val="none"/>
          <w:lang w:val="en-US" w:eastAsia="zh-CN"/>
        </w:rPr>
        <w:t>通过纵向、横向比较对实现效果进行总结分析的相关资料不</w:t>
      </w:r>
      <w:r>
        <w:rPr>
          <w:rFonts w:hint="eastAsia" w:ascii="仿宋_GB2312" w:hAnsi="仿宋_GB2312" w:cs="仿宋_GB2312"/>
          <w:bCs/>
          <w:color w:val="auto"/>
          <w:kern w:val="44"/>
          <w:sz w:val="32"/>
          <w:szCs w:val="32"/>
          <w:highlight w:val="none"/>
          <w:lang w:val="en-US" w:eastAsia="zh-CN"/>
        </w:rPr>
        <w:t>够</w:t>
      </w:r>
      <w:r>
        <w:rPr>
          <w:rFonts w:hint="eastAsia" w:ascii="仿宋_GB2312" w:hAnsi="仿宋_GB2312" w:eastAsia="仿宋_GB2312" w:cs="仿宋_GB2312"/>
          <w:bCs/>
          <w:color w:val="auto"/>
          <w:kern w:val="44"/>
          <w:sz w:val="32"/>
          <w:szCs w:val="32"/>
          <w:highlight w:val="none"/>
          <w:lang w:val="en-US" w:eastAsia="zh-CN"/>
        </w:rPr>
        <w:t>，导致项目效果实现程度呈现不够</w:t>
      </w:r>
      <w:r>
        <w:rPr>
          <w:rFonts w:hint="eastAsia" w:ascii="仿宋_GB2312" w:hAnsi="仿宋_GB2312" w:cs="仿宋_GB2312"/>
          <w:bCs/>
          <w:color w:val="auto"/>
          <w:kern w:val="44"/>
          <w:sz w:val="32"/>
          <w:szCs w:val="32"/>
          <w:highlight w:val="none"/>
          <w:lang w:val="en-US" w:eastAsia="zh-CN"/>
        </w:rPr>
        <w:t>充分</w:t>
      </w:r>
      <w:r>
        <w:rPr>
          <w:rFonts w:hint="eastAsia" w:ascii="仿宋_GB2312" w:hAnsi="仿宋_GB2312" w:eastAsia="仿宋_GB2312" w:cs="仿宋_GB2312"/>
          <w:bCs/>
          <w:color w:val="auto"/>
          <w:kern w:val="44"/>
          <w:sz w:val="32"/>
          <w:szCs w:val="32"/>
          <w:highlight w:val="none"/>
          <w:lang w:val="en-US" w:eastAsia="zh-CN"/>
        </w:rPr>
        <w:t>。</w:t>
      </w:r>
    </w:p>
    <w:p w14:paraId="7610ADF9">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w:t>
      </w:r>
      <w:bookmarkEnd w:id="71"/>
      <w:r>
        <w:rPr>
          <w:rFonts w:hint="eastAsia" w:ascii="黑体" w:hAnsi="黑体" w:eastAsia="黑体" w:cs="黑体"/>
          <w:sz w:val="32"/>
          <w:szCs w:val="32"/>
        </w:rPr>
        <w:t>相关</w:t>
      </w:r>
      <w:r>
        <w:rPr>
          <w:rFonts w:hint="eastAsia" w:ascii="黑体" w:hAnsi="黑体" w:eastAsia="黑体" w:cs="黑体"/>
          <w:b w:val="0"/>
          <w:bCs w:val="0"/>
          <w:sz w:val="32"/>
          <w:szCs w:val="32"/>
        </w:rPr>
        <w:t>建议</w:t>
      </w:r>
      <w:bookmarkEnd w:id="72"/>
      <w:bookmarkEnd w:id="73"/>
      <w:bookmarkEnd w:id="74"/>
      <w:bookmarkEnd w:id="75"/>
      <w:bookmarkEnd w:id="76"/>
      <w:bookmarkEnd w:id="77"/>
      <w:bookmarkEnd w:id="78"/>
      <w:bookmarkEnd w:id="79"/>
      <w:bookmarkEnd w:id="80"/>
      <w:bookmarkStart w:id="82" w:name="_Toc8158018"/>
    </w:p>
    <w:bookmarkEnd w:id="82"/>
    <w:p w14:paraId="4179305B">
      <w:pPr>
        <w:pStyle w:val="3"/>
        <w:keepNext w:val="0"/>
        <w:keepLines w:val="0"/>
        <w:pageBreakBefore w:val="0"/>
        <w:widowControl w:val="0"/>
        <w:kinsoku/>
        <w:wordWrap/>
        <w:overflowPunct/>
        <w:topLinePunct w:val="0"/>
        <w:autoSpaceDE/>
        <w:autoSpaceDN/>
        <w:bidi w:val="0"/>
        <w:spacing w:before="0" w:after="0" w:line="560" w:lineRule="exact"/>
        <w:ind w:firstLine="643" w:firstLineChars="200"/>
        <w:rPr>
          <w:rFonts w:hint="eastAsia" w:ascii="楷体_GB2312" w:hAnsi="楷体_GB2312" w:eastAsia="楷体_GB2312" w:cs="楷体_GB2312"/>
          <w:b/>
          <w:bCs/>
          <w:kern w:val="44"/>
          <w:sz w:val="32"/>
          <w:szCs w:val="32"/>
          <w:lang w:val="en-US" w:eastAsia="zh-CN"/>
        </w:rPr>
      </w:pPr>
      <w:bookmarkStart w:id="83" w:name="_Toc17284"/>
      <w:bookmarkStart w:id="84" w:name="_Toc17187"/>
      <w:bookmarkStart w:id="85" w:name="_Toc15439"/>
      <w:bookmarkStart w:id="86" w:name="_Toc707578740"/>
      <w:bookmarkStart w:id="87" w:name="_Toc4307"/>
      <w:r>
        <w:rPr>
          <w:rFonts w:hint="eastAsia" w:ascii="楷体_GB2312" w:hAnsi="楷体_GB2312" w:eastAsia="楷体_GB2312" w:cs="楷体_GB2312"/>
          <w:b/>
          <w:bCs/>
          <w:kern w:val="44"/>
          <w:sz w:val="32"/>
          <w:szCs w:val="32"/>
          <w:lang w:val="en-US" w:eastAsia="zh-CN"/>
        </w:rPr>
        <w:t>（一）加强绩效目标研究，科学、合理设置绩效指标</w:t>
      </w:r>
    </w:p>
    <w:p w14:paraId="428AC3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44"/>
          <w:sz w:val="32"/>
          <w:szCs w:val="32"/>
          <w:highlight w:val="none"/>
          <w:lang w:val="en-US" w:eastAsia="zh-CN"/>
        </w:rPr>
      </w:pPr>
      <w:r>
        <w:rPr>
          <w:rFonts w:hint="eastAsia" w:ascii="仿宋_GB2312" w:hAnsi="仿宋_GB2312" w:cs="仿宋_GB2312"/>
          <w:bCs/>
          <w:color w:val="auto"/>
          <w:kern w:val="44"/>
          <w:sz w:val="32"/>
          <w:szCs w:val="32"/>
          <w:highlight w:val="none"/>
          <w:lang w:val="en-US" w:eastAsia="zh-CN"/>
        </w:rPr>
        <w:t>一方面建议</w:t>
      </w:r>
      <w:r>
        <w:rPr>
          <w:rFonts w:hint="eastAsia" w:ascii="仿宋_GB2312" w:hAnsi="仿宋_GB2312" w:eastAsia="仿宋_GB2312" w:cs="仿宋_GB2312"/>
          <w:bCs/>
          <w:color w:val="auto"/>
          <w:kern w:val="44"/>
          <w:sz w:val="32"/>
          <w:szCs w:val="32"/>
          <w:highlight w:val="none"/>
          <w:lang w:val="en-US" w:eastAsia="zh-CN"/>
        </w:rPr>
        <w:t>结合项目总体绩效目标，合理分解并细化年度绩效目标和指标，做到重点突出、相应匹配，确保绩效目标设置为与项目实施内容及预算支出方向相符，为年度工作任务安排提供有效指引。</w:t>
      </w:r>
      <w:r>
        <w:rPr>
          <w:rFonts w:hint="eastAsia" w:ascii="仿宋_GB2312" w:hAnsi="仿宋_GB2312" w:cs="仿宋_GB2312"/>
          <w:bCs/>
          <w:color w:val="auto"/>
          <w:kern w:val="44"/>
          <w:sz w:val="32"/>
          <w:szCs w:val="32"/>
          <w:highlight w:val="none"/>
          <w:lang w:val="en-US" w:eastAsia="zh-CN"/>
        </w:rPr>
        <w:t>另一方面建议</w:t>
      </w:r>
      <w:r>
        <w:rPr>
          <w:rFonts w:hint="eastAsia" w:ascii="仿宋_GB2312" w:hAnsi="仿宋_GB2312" w:eastAsia="仿宋_GB2312" w:cs="仿宋_GB2312"/>
          <w:bCs/>
          <w:color w:val="auto"/>
          <w:kern w:val="44"/>
          <w:sz w:val="32"/>
          <w:szCs w:val="32"/>
          <w:highlight w:val="none"/>
          <w:lang w:val="en-US" w:eastAsia="zh-CN"/>
        </w:rPr>
        <w:t>强化项目需求调研论证工作，根据当年工作任务，宣传重点、宣传的技术需求等，合理测算预算，保证预算与工作任务和实施内容的匹配度和相关性；同时，加强成本控制，保证财政资金投入的合理性，与宣传效果的匹配性。</w:t>
      </w:r>
    </w:p>
    <w:p w14:paraId="1BA9E26B">
      <w:pPr>
        <w:pStyle w:val="3"/>
        <w:keepNext w:val="0"/>
        <w:keepLines w:val="0"/>
        <w:pageBreakBefore w:val="0"/>
        <w:widowControl w:val="0"/>
        <w:kinsoku/>
        <w:wordWrap/>
        <w:overflowPunct/>
        <w:topLinePunct w:val="0"/>
        <w:autoSpaceDE/>
        <w:autoSpaceDN/>
        <w:bidi w:val="0"/>
        <w:spacing w:before="0" w:after="0" w:line="560" w:lineRule="exact"/>
        <w:ind w:firstLine="643" w:firstLineChars="200"/>
        <w:rPr>
          <w:rFonts w:hint="default" w:ascii="楷体_GB2312" w:hAnsi="楷体_GB2312" w:eastAsia="楷体_GB2312" w:cs="楷体_GB2312"/>
          <w:b/>
          <w:bCs/>
          <w:kern w:val="44"/>
          <w:sz w:val="32"/>
          <w:szCs w:val="32"/>
          <w:lang w:val="en-US" w:eastAsia="zh-CN"/>
        </w:rPr>
      </w:pPr>
      <w:r>
        <w:rPr>
          <w:rFonts w:hint="eastAsia" w:ascii="楷体_GB2312" w:hAnsi="楷体_GB2312" w:eastAsia="楷体_GB2312" w:cs="楷体_GB2312"/>
          <w:b/>
          <w:bCs/>
          <w:kern w:val="44"/>
          <w:sz w:val="32"/>
          <w:szCs w:val="32"/>
          <w:lang w:val="en-US" w:eastAsia="zh-CN"/>
        </w:rPr>
        <w:t>（二）</w:t>
      </w:r>
      <w:r>
        <w:rPr>
          <w:rFonts w:hint="default" w:ascii="楷体_GB2312" w:hAnsi="楷体_GB2312" w:eastAsia="楷体_GB2312" w:cs="楷体_GB2312"/>
          <w:b/>
          <w:bCs/>
          <w:kern w:val="44"/>
          <w:sz w:val="32"/>
          <w:szCs w:val="32"/>
          <w:lang w:val="en-US" w:eastAsia="zh-CN"/>
        </w:rPr>
        <w:t>进一步提升项目精细化管理水平，充分体现实施效益效果</w:t>
      </w:r>
    </w:p>
    <w:p w14:paraId="5C913A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仿宋_GB2312" w:hAnsi="仿宋_GB2312" w:cs="仿宋_GB2312"/>
          <w:bCs/>
          <w:color w:val="auto"/>
          <w:kern w:val="44"/>
          <w:sz w:val="32"/>
          <w:szCs w:val="32"/>
          <w:highlight w:val="none"/>
          <w:lang w:val="en-US" w:eastAsia="zh-CN"/>
        </w:rPr>
        <w:t>建议</w:t>
      </w:r>
      <w:r>
        <w:rPr>
          <w:rFonts w:hint="eastAsia" w:ascii="仿宋_GB2312" w:hAnsi="仿宋_GB2312" w:eastAsia="仿宋_GB2312" w:cs="仿宋_GB2312"/>
          <w:bCs/>
          <w:color w:val="auto"/>
          <w:kern w:val="44"/>
          <w:sz w:val="32"/>
          <w:szCs w:val="32"/>
          <w:highlight w:val="none"/>
          <w:lang w:val="en-US" w:eastAsia="zh-CN"/>
        </w:rPr>
        <w:t>结合项目需求，明确设置绩效目标和绩效指标，加大绩效目标的可衡量度；且系统地归纳整理项目绩效产出和效果依据，切实履行服务对象满意度调查程序，保证项目按期完成、达到预期效果。</w:t>
      </w:r>
    </w:p>
    <w:p w14:paraId="2346855C">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w:t>
      </w:r>
      <w:bookmarkEnd w:id="83"/>
      <w:bookmarkEnd w:id="84"/>
      <w:bookmarkEnd w:id="85"/>
      <w:bookmarkEnd w:id="86"/>
      <w:r>
        <w:rPr>
          <w:rFonts w:hint="eastAsia" w:ascii="黑体" w:hAnsi="黑体" w:eastAsia="黑体" w:cs="黑体"/>
          <w:sz w:val="32"/>
          <w:szCs w:val="32"/>
          <w:lang w:val="en-US" w:eastAsia="zh-CN"/>
        </w:rPr>
        <w:t>附件</w:t>
      </w:r>
      <w:bookmarkEnd w:id="87"/>
    </w:p>
    <w:p w14:paraId="44DA3A4D">
      <w:pPr>
        <w:pStyle w:val="1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1"/>
        <w:rPr>
          <w:rFonts w:hint="eastAsia" w:ascii="仿宋_GB2312" w:hAnsi="仿宋_GB2312" w:eastAsia="仿宋_GB2312" w:cs="仿宋_GB2312"/>
          <w:bCs/>
          <w:color w:val="auto"/>
          <w:kern w:val="44"/>
          <w:sz w:val="32"/>
          <w:szCs w:val="32"/>
        </w:rPr>
      </w:pPr>
      <w:bookmarkStart w:id="88" w:name="_Toc6576"/>
      <w:r>
        <w:rPr>
          <w:rFonts w:hint="eastAsia" w:ascii="仿宋_GB2312" w:hAnsi="仿宋_GB2312" w:eastAsia="仿宋_GB2312" w:cs="仿宋_GB2312"/>
          <w:bCs/>
          <w:color w:val="auto"/>
          <w:kern w:val="44"/>
          <w:sz w:val="32"/>
          <w:szCs w:val="32"/>
          <w:lang w:val="en-US" w:eastAsia="zh-CN"/>
        </w:rPr>
        <w:t>附件1. 项目绩效评价指标体系及打分情况表</w:t>
      </w:r>
      <w:bookmarkEnd w:id="88"/>
      <w:r>
        <w:rPr>
          <w:rFonts w:hint="eastAsia" w:ascii="仿宋_GB2312" w:hAnsi="仿宋_GB2312" w:eastAsia="仿宋_GB2312" w:cs="仿宋_GB2312"/>
          <w:bCs/>
          <w:color w:val="auto"/>
          <w:kern w:val="44"/>
          <w:sz w:val="32"/>
          <w:szCs w:val="32"/>
          <w:lang w:val="en-US" w:eastAsia="zh-CN"/>
        </w:rPr>
        <w:t xml:space="preserve"> </w:t>
      </w:r>
    </w:p>
    <w:p w14:paraId="74F1DF8A">
      <w:pPr>
        <w:pStyle w:val="1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1"/>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lang w:val="en-US" w:eastAsia="zh-CN"/>
        </w:rPr>
        <w:t xml:space="preserve">附件 </w:t>
      </w:r>
      <w:r>
        <w:rPr>
          <w:rFonts w:hint="default" w:ascii="仿宋_GB2312" w:hAnsi="仿宋_GB2312" w:eastAsia="仿宋_GB2312" w:cs="仿宋_GB2312"/>
          <w:bCs/>
          <w:color w:val="auto"/>
          <w:kern w:val="44"/>
          <w:sz w:val="32"/>
          <w:szCs w:val="32"/>
          <w:lang w:val="en-US" w:eastAsia="zh-CN"/>
        </w:rPr>
        <w:t>2</w:t>
      </w:r>
      <w:r>
        <w:rPr>
          <w:rFonts w:hint="eastAsia" w:ascii="仿宋_GB2312" w:hAnsi="仿宋_GB2312" w:eastAsia="仿宋_GB2312" w:cs="仿宋_GB2312"/>
          <w:bCs/>
          <w:color w:val="auto"/>
          <w:kern w:val="44"/>
          <w:sz w:val="32"/>
          <w:szCs w:val="32"/>
          <w:lang w:val="en-US" w:eastAsia="zh-CN"/>
        </w:rPr>
        <w:t xml:space="preserve">：专家及评价工作组情况表 </w:t>
      </w:r>
    </w:p>
    <w:p w14:paraId="640CB47A">
      <w:pPr>
        <w:pStyle w:val="1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1"/>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lang w:val="en-US" w:eastAsia="zh-CN"/>
        </w:rPr>
        <w:t xml:space="preserve">附件 </w:t>
      </w:r>
      <w:r>
        <w:rPr>
          <w:rFonts w:hint="default" w:ascii="仿宋_GB2312" w:hAnsi="仿宋_GB2312" w:eastAsia="仿宋_GB2312" w:cs="仿宋_GB2312"/>
          <w:bCs/>
          <w:color w:val="auto"/>
          <w:kern w:val="44"/>
          <w:sz w:val="32"/>
          <w:szCs w:val="32"/>
          <w:lang w:val="en-US" w:eastAsia="zh-CN"/>
        </w:rPr>
        <w:t>3</w:t>
      </w:r>
      <w:r>
        <w:rPr>
          <w:rFonts w:hint="eastAsia" w:ascii="仿宋_GB2312" w:hAnsi="仿宋_GB2312" w:eastAsia="仿宋_GB2312" w:cs="仿宋_GB2312"/>
          <w:bCs/>
          <w:color w:val="auto"/>
          <w:kern w:val="44"/>
          <w:sz w:val="32"/>
          <w:szCs w:val="32"/>
          <w:lang w:val="en-US" w:eastAsia="zh-CN"/>
        </w:rPr>
        <w:t xml:space="preserve">：专家意见汇总表及评价意见 </w:t>
      </w:r>
    </w:p>
    <w:p w14:paraId="4BDE5049">
      <w:pPr>
        <w:pStyle w:val="14"/>
        <w:keepNext w:val="0"/>
        <w:keepLines w:val="0"/>
        <w:pageBreakBefore w:val="0"/>
        <w:widowControl w:val="0"/>
        <w:kinsoku/>
        <w:wordWrap/>
        <w:overflowPunct/>
        <w:topLinePunct w:val="0"/>
        <w:autoSpaceDE/>
        <w:autoSpaceDN/>
        <w:bidi w:val="0"/>
        <w:spacing w:line="560" w:lineRule="exact"/>
        <w:rPr>
          <w:rFonts w:hint="default" w:ascii="仿宋_GB2312" w:hAnsi="仿宋_GB2312" w:eastAsia="仿宋_GB2312" w:cs="仿宋_GB2312"/>
          <w:bCs/>
          <w:kern w:val="44"/>
          <w:sz w:val="32"/>
          <w:szCs w:val="32"/>
          <w:highlight w:val="yellow"/>
          <w:lang w:val="en-US" w:eastAsia="zh-CN"/>
        </w:rPr>
        <w:sectPr>
          <w:footerReference r:id="rId4" w:type="default"/>
          <w:pgSz w:w="11906" w:h="16838"/>
          <w:pgMar w:top="1440" w:right="1800" w:bottom="1440" w:left="1800" w:header="851" w:footer="992" w:gutter="0"/>
          <w:pgNumType w:fmt="decimal" w:start="1"/>
          <w:cols w:space="425" w:num="1"/>
          <w:docGrid w:type="lines" w:linePitch="312" w:charSpace="0"/>
        </w:sectPr>
      </w:pPr>
    </w:p>
    <w:p w14:paraId="6D72A9DD">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left"/>
        <w:textAlignment w:val="auto"/>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附件1：</w:t>
      </w:r>
    </w:p>
    <w:p w14:paraId="3E4DFF10">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宋体" w:hAnsi="宋体" w:cs="宋体"/>
          <w:b/>
          <w:bCs/>
          <w:color w:val="000000"/>
          <w:kern w:val="0"/>
          <w:sz w:val="36"/>
          <w:szCs w:val="36"/>
        </w:rPr>
      </w:pPr>
      <w:bookmarkStart w:id="89" w:name="_Toc2703"/>
      <w:r>
        <w:rPr>
          <w:rFonts w:hint="eastAsia" w:ascii="宋体" w:hAnsi="宋体" w:cs="宋体"/>
          <w:b/>
          <w:bCs/>
          <w:color w:val="000000"/>
          <w:kern w:val="0"/>
          <w:sz w:val="36"/>
          <w:szCs w:val="36"/>
        </w:rPr>
        <w:t>北京市项目支出绩效评价</w:t>
      </w:r>
      <w:r>
        <w:rPr>
          <w:rFonts w:hint="eastAsia" w:ascii="宋体" w:hAnsi="宋体" w:cs="宋体"/>
          <w:b/>
          <w:bCs/>
          <w:color w:val="000000"/>
          <w:kern w:val="0"/>
          <w:sz w:val="36"/>
          <w:szCs w:val="36"/>
          <w:lang w:val="en-US" w:eastAsia="zh-CN"/>
        </w:rPr>
        <w:t>指标体系及打分情况表</w:t>
      </w:r>
      <w:bookmarkEnd w:id="89"/>
    </w:p>
    <w:p w14:paraId="1F18E80A">
      <w:pPr>
        <w:keepNext w:val="0"/>
        <w:keepLines w:val="0"/>
        <w:pageBreakBefore w:val="0"/>
        <w:widowControl w:val="0"/>
        <w:kinsoku/>
        <w:wordWrap/>
        <w:overflowPunct/>
        <w:topLinePunct w:val="0"/>
        <w:autoSpaceDE/>
        <w:autoSpaceDN/>
        <w:bidi w:val="0"/>
        <w:spacing w:line="560" w:lineRule="exact"/>
        <w:jc w:val="left"/>
        <w:rPr>
          <w:rFonts w:hint="default"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单位名称： 北京市投资促进服务中心                        项目名称：北京市对外招商推介宣传片</w:t>
      </w:r>
    </w:p>
    <w:tbl>
      <w:tblPr>
        <w:tblStyle w:val="15"/>
        <w:tblW w:w="13875" w:type="dxa"/>
        <w:tblInd w:w="119" w:type="dxa"/>
        <w:tblLayout w:type="autofit"/>
        <w:tblCellMar>
          <w:top w:w="0" w:type="dxa"/>
          <w:left w:w="108" w:type="dxa"/>
          <w:bottom w:w="0" w:type="dxa"/>
          <w:right w:w="108" w:type="dxa"/>
        </w:tblCellMar>
      </w:tblPr>
      <w:tblGrid>
        <w:gridCol w:w="807"/>
        <w:gridCol w:w="784"/>
        <w:gridCol w:w="807"/>
        <w:gridCol w:w="784"/>
        <w:gridCol w:w="3594"/>
        <w:gridCol w:w="6089"/>
        <w:gridCol w:w="1010"/>
      </w:tblGrid>
      <w:tr w14:paraId="2FB3ECBA">
        <w:tblPrEx>
          <w:tblCellMar>
            <w:top w:w="0" w:type="dxa"/>
            <w:left w:w="108" w:type="dxa"/>
            <w:bottom w:w="0" w:type="dxa"/>
            <w:right w:w="108" w:type="dxa"/>
          </w:tblCellMar>
        </w:tblPrEx>
        <w:trPr>
          <w:trHeight w:val="468" w:hRule="atLeast"/>
          <w:tblHeader/>
        </w:trPr>
        <w:tc>
          <w:tcPr>
            <w:tcW w:w="80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2A05BCB">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784" w:type="dxa"/>
            <w:tcBorders>
              <w:top w:val="single" w:color="auto" w:sz="4" w:space="0"/>
              <w:left w:val="nil"/>
              <w:bottom w:val="single" w:color="auto" w:sz="4" w:space="0"/>
              <w:right w:val="single" w:color="auto" w:sz="4" w:space="0"/>
            </w:tcBorders>
            <w:shd w:val="clear" w:color="000000" w:fill="FFFFFF"/>
            <w:noWrap w:val="0"/>
            <w:vAlign w:val="center"/>
          </w:tcPr>
          <w:p w14:paraId="23979D03">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807" w:type="dxa"/>
            <w:tcBorders>
              <w:top w:val="single" w:color="auto" w:sz="4" w:space="0"/>
              <w:left w:val="nil"/>
              <w:bottom w:val="single" w:color="auto" w:sz="4" w:space="0"/>
              <w:right w:val="single" w:color="auto" w:sz="4" w:space="0"/>
            </w:tcBorders>
            <w:shd w:val="clear" w:color="000000" w:fill="FFFFFF"/>
            <w:noWrap w:val="0"/>
            <w:vAlign w:val="center"/>
          </w:tcPr>
          <w:p w14:paraId="1D6DE85A">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784" w:type="dxa"/>
            <w:tcBorders>
              <w:top w:val="single" w:color="auto" w:sz="4" w:space="0"/>
              <w:left w:val="nil"/>
              <w:bottom w:val="single" w:color="auto" w:sz="4" w:space="0"/>
              <w:right w:val="single" w:color="auto" w:sz="4" w:space="0"/>
            </w:tcBorders>
            <w:shd w:val="clear" w:color="000000" w:fill="FFFFFF"/>
            <w:noWrap w:val="0"/>
            <w:vAlign w:val="center"/>
          </w:tcPr>
          <w:p w14:paraId="2FBB59BF">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分值</w:t>
            </w:r>
          </w:p>
        </w:tc>
        <w:tc>
          <w:tcPr>
            <w:tcW w:w="3594" w:type="dxa"/>
            <w:tcBorders>
              <w:top w:val="single" w:color="auto" w:sz="4" w:space="0"/>
              <w:left w:val="nil"/>
              <w:bottom w:val="single" w:color="auto" w:sz="4" w:space="0"/>
              <w:right w:val="single" w:color="auto" w:sz="4" w:space="0"/>
            </w:tcBorders>
            <w:shd w:val="clear" w:color="000000" w:fill="FFFFFF"/>
            <w:noWrap w:val="0"/>
            <w:vAlign w:val="center"/>
          </w:tcPr>
          <w:p w14:paraId="295F4F11">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具体指标</w:t>
            </w:r>
          </w:p>
        </w:tc>
        <w:tc>
          <w:tcPr>
            <w:tcW w:w="6089" w:type="dxa"/>
            <w:tcBorders>
              <w:top w:val="single" w:color="auto" w:sz="4" w:space="0"/>
              <w:left w:val="nil"/>
              <w:bottom w:val="single" w:color="auto" w:sz="4" w:space="0"/>
              <w:right w:val="single" w:color="auto" w:sz="4" w:space="0"/>
            </w:tcBorders>
            <w:shd w:val="clear" w:color="000000" w:fill="FFFFFF"/>
            <w:noWrap w:val="0"/>
            <w:vAlign w:val="center"/>
          </w:tcPr>
          <w:p w14:paraId="0376FCDD">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评价要点</w:t>
            </w:r>
          </w:p>
        </w:tc>
        <w:tc>
          <w:tcPr>
            <w:tcW w:w="1010" w:type="dxa"/>
            <w:tcBorders>
              <w:top w:val="single" w:color="auto" w:sz="4" w:space="0"/>
              <w:left w:val="nil"/>
              <w:bottom w:val="single" w:color="auto" w:sz="4" w:space="0"/>
              <w:right w:val="single" w:color="auto" w:sz="4" w:space="0"/>
            </w:tcBorders>
            <w:shd w:val="clear" w:color="000000" w:fill="FFFFFF"/>
            <w:noWrap w:val="0"/>
            <w:vAlign w:val="center"/>
          </w:tcPr>
          <w:p w14:paraId="75D43A38">
            <w:pPr>
              <w:keepNext w:val="0"/>
              <w:keepLines w:val="0"/>
              <w:pageBreakBefore w:val="0"/>
              <w:widowControl w:val="0"/>
              <w:kinsoku/>
              <w:wordWrap/>
              <w:overflowPunct/>
              <w:topLinePunct w:val="0"/>
              <w:autoSpaceDE/>
              <w:autoSpaceDN/>
              <w:bidi w:val="0"/>
              <w:spacing w:line="560" w:lineRule="exact"/>
              <w:jc w:val="center"/>
              <w:rPr>
                <w:rFonts w:ascii="宋体" w:hAnsi="宋体" w:cs="宋体"/>
                <w:b/>
                <w:bCs/>
                <w:color w:val="000000"/>
                <w:kern w:val="0"/>
                <w:sz w:val="22"/>
              </w:rPr>
            </w:pPr>
            <w:r>
              <w:rPr>
                <w:rFonts w:hint="eastAsia" w:ascii="宋体" w:hAnsi="宋体" w:cs="宋体"/>
                <w:b/>
                <w:bCs/>
                <w:color w:val="000000"/>
                <w:kern w:val="0"/>
                <w:sz w:val="22"/>
              </w:rPr>
              <w:t>得分</w:t>
            </w:r>
          </w:p>
        </w:tc>
      </w:tr>
      <w:tr w14:paraId="4BA8E8E4">
        <w:tblPrEx>
          <w:tblCellMar>
            <w:top w:w="0" w:type="dxa"/>
            <w:left w:w="108" w:type="dxa"/>
            <w:bottom w:w="0" w:type="dxa"/>
            <w:right w:w="108" w:type="dxa"/>
          </w:tblCellMar>
        </w:tblPrEx>
        <w:trPr>
          <w:trHeight w:val="468" w:hRule="atLeast"/>
        </w:trPr>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5921F79">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lang w:val="en-US" w:eastAsia="zh-CN"/>
              </w:rPr>
              <w:t>项目</w:t>
            </w:r>
            <w:r>
              <w:rPr>
                <w:rFonts w:hint="eastAsia" w:ascii="宋体" w:hAnsi="宋体" w:cs="宋体"/>
                <w:color w:val="000000"/>
                <w:kern w:val="0"/>
                <w:sz w:val="22"/>
              </w:rPr>
              <w:t>决策</w:t>
            </w:r>
          </w:p>
          <w:p w14:paraId="326EFCF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24D7470">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项目立项</w:t>
            </w:r>
          </w:p>
          <w:p w14:paraId="6A82FB6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4分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94439E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立项依据充分性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27B07C75">
            <w:pPr>
              <w:keepNext w:val="0"/>
              <w:keepLines w:val="0"/>
              <w:pageBreakBefore w:val="0"/>
              <w:widowControl w:val="0"/>
              <w:kinsoku/>
              <w:wordWrap/>
              <w:overflowPunct/>
              <w:topLinePunct w:val="0"/>
              <w:autoSpaceDE/>
              <w:autoSpaceDN/>
              <w:bidi w:val="0"/>
              <w:spacing w:line="560" w:lineRule="exact"/>
              <w:jc w:val="center"/>
              <w:rPr>
                <w:rFonts w:hint="default" w:ascii="宋体" w:hAnsi="宋体" w:cs="宋体"/>
                <w:color w:val="000000"/>
                <w:kern w:val="0"/>
                <w:sz w:val="22"/>
                <w:lang w:val="en-US"/>
              </w:rPr>
            </w:pPr>
            <w:r>
              <w:rPr>
                <w:rFonts w:hint="eastAsia" w:ascii="宋体" w:hAnsi="宋体" w:cs="宋体"/>
                <w:color w:val="000000"/>
                <w:kern w:val="0"/>
                <w:sz w:val="22"/>
                <w:lang w:val="en-US" w:eastAsia="zh-CN"/>
              </w:rPr>
              <w:t>2</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343FA2B9">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6089" w:type="dxa"/>
            <w:tcBorders>
              <w:top w:val="nil"/>
              <w:left w:val="nil"/>
              <w:bottom w:val="single" w:color="auto" w:sz="4" w:space="0"/>
              <w:right w:val="single" w:color="auto" w:sz="4" w:space="0"/>
            </w:tcBorders>
            <w:shd w:val="clear" w:color="000000" w:fill="FFFFFF"/>
            <w:noWrap w:val="0"/>
            <w:vAlign w:val="center"/>
          </w:tcPr>
          <w:p w14:paraId="555F078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①项目立项是否符合国家法律法规、国民经济发展规划和相关政策；</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18A1A98D">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w:t>
            </w:r>
          </w:p>
        </w:tc>
      </w:tr>
      <w:tr w14:paraId="1F530ACB">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410802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467777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BCD54E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98A0C47">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90170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3EBF8C8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②项目立项是否符合行业发展规划和政策要求；</w:t>
            </w:r>
          </w:p>
        </w:tc>
        <w:tc>
          <w:tcPr>
            <w:tcW w:w="1010" w:type="dxa"/>
            <w:vMerge w:val="continue"/>
            <w:tcBorders>
              <w:top w:val="nil"/>
              <w:left w:val="single" w:color="auto" w:sz="4" w:space="0"/>
              <w:bottom w:val="single" w:color="000000" w:sz="4" w:space="0"/>
              <w:right w:val="single" w:color="auto" w:sz="4" w:space="0"/>
            </w:tcBorders>
            <w:noWrap w:val="0"/>
            <w:vAlign w:val="center"/>
          </w:tcPr>
          <w:p w14:paraId="55343AD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15C6F526">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D6219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74E737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5EA68C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6E88896">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3AD3B8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6059F87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③项目立项是否与部门职责范围相符，属于部门履职所需；</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201FF2A">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F44E386">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6C866C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0F8F17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AF3449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F88597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6E4887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2A3D4B2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④项目是否属于公共财政支持范围，是否符合中央、地方事权支出责任划分原则；</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46D5B6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2A201345">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6899AC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2A7D58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91410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221F456">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0C5C20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598BF1A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⑤项目是否与相关部门同类项目或部门内部相关项目重复。</w:t>
            </w:r>
          </w:p>
        </w:tc>
        <w:tc>
          <w:tcPr>
            <w:tcW w:w="1010" w:type="dxa"/>
            <w:vMerge w:val="continue"/>
            <w:tcBorders>
              <w:top w:val="nil"/>
              <w:left w:val="single" w:color="auto" w:sz="4" w:space="0"/>
              <w:bottom w:val="single" w:color="000000" w:sz="4" w:space="0"/>
              <w:right w:val="single" w:color="auto" w:sz="4" w:space="0"/>
            </w:tcBorders>
            <w:noWrap w:val="0"/>
            <w:vAlign w:val="center"/>
          </w:tcPr>
          <w:p w14:paraId="56C1986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D45E56E">
        <w:tblPrEx>
          <w:tblCellMar>
            <w:top w:w="0" w:type="dxa"/>
            <w:left w:w="108" w:type="dxa"/>
            <w:bottom w:w="0" w:type="dxa"/>
            <w:right w:w="108" w:type="dxa"/>
          </w:tblCellMar>
        </w:tblPrEx>
        <w:trPr>
          <w:trHeight w:val="254"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7FF0A4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32DAD7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1F02A12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立项程序规范性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4BCB898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2</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7079E5A">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6089" w:type="dxa"/>
            <w:tcBorders>
              <w:top w:val="nil"/>
              <w:left w:val="nil"/>
              <w:bottom w:val="single" w:color="auto" w:sz="4" w:space="0"/>
              <w:right w:val="single" w:color="auto" w:sz="4" w:space="0"/>
            </w:tcBorders>
            <w:shd w:val="clear" w:color="000000" w:fill="FFFFFF"/>
            <w:noWrap w:val="0"/>
            <w:vAlign w:val="center"/>
          </w:tcPr>
          <w:p w14:paraId="0A07DAD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①项目是否按照规定的程序申请设立；</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26971AEB">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w:t>
            </w:r>
          </w:p>
        </w:tc>
      </w:tr>
      <w:tr w14:paraId="0CC3EF33">
        <w:tblPrEx>
          <w:tblCellMar>
            <w:top w:w="0" w:type="dxa"/>
            <w:left w:w="108" w:type="dxa"/>
            <w:bottom w:w="0" w:type="dxa"/>
            <w:right w:w="108" w:type="dxa"/>
          </w:tblCellMar>
        </w:tblPrEx>
        <w:trPr>
          <w:trHeight w:val="23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BB59BA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872EFE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F91F54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1A17A7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FC2EF5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460480B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②审批文件、材料是否符合相关要求；</w:t>
            </w:r>
          </w:p>
        </w:tc>
        <w:tc>
          <w:tcPr>
            <w:tcW w:w="1010" w:type="dxa"/>
            <w:vMerge w:val="continue"/>
            <w:tcBorders>
              <w:top w:val="nil"/>
              <w:left w:val="single" w:color="auto" w:sz="4" w:space="0"/>
              <w:bottom w:val="single" w:color="000000" w:sz="4" w:space="0"/>
              <w:right w:val="single" w:color="auto" w:sz="4" w:space="0"/>
            </w:tcBorders>
            <w:noWrap w:val="0"/>
            <w:vAlign w:val="center"/>
          </w:tcPr>
          <w:p w14:paraId="52E9A4F8">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4113C5A">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B221DC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B3DE3C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0428A5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A9C7E8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F19A9C8">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2B26071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③事前是否已经过必要的可行性研究、专家论证、风险评估、绩效评估、集体决策。</w:t>
            </w:r>
          </w:p>
        </w:tc>
        <w:tc>
          <w:tcPr>
            <w:tcW w:w="1010" w:type="dxa"/>
            <w:vMerge w:val="continue"/>
            <w:tcBorders>
              <w:top w:val="nil"/>
              <w:left w:val="single" w:color="auto" w:sz="4" w:space="0"/>
              <w:bottom w:val="single" w:color="000000" w:sz="4" w:space="0"/>
              <w:right w:val="single" w:color="auto" w:sz="4" w:space="0"/>
            </w:tcBorders>
            <w:noWrap w:val="0"/>
            <w:vAlign w:val="center"/>
          </w:tcPr>
          <w:p w14:paraId="58A73A8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20E4F308">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A969D5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55063D4A">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绩效目标</w:t>
            </w:r>
          </w:p>
          <w:p w14:paraId="2FF9BC7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6B6119AC">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绩效目标合理性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3E0438CC">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2</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3A7FED28">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6089" w:type="dxa"/>
            <w:tcBorders>
              <w:top w:val="nil"/>
              <w:left w:val="nil"/>
              <w:bottom w:val="single" w:color="auto" w:sz="4" w:space="0"/>
              <w:right w:val="single" w:color="auto" w:sz="4" w:space="0"/>
            </w:tcBorders>
            <w:shd w:val="clear" w:color="000000" w:fill="FFFFFF"/>
            <w:noWrap w:val="0"/>
            <w:vAlign w:val="center"/>
          </w:tcPr>
          <w:p w14:paraId="73A928F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（如未设定预算绩效目标，也可考核其他工作任务目标）</w:t>
            </w:r>
          </w:p>
        </w:tc>
        <w:tc>
          <w:tcPr>
            <w:tcW w:w="1010" w:type="dxa"/>
            <w:vMerge w:val="restart"/>
            <w:tcBorders>
              <w:top w:val="nil"/>
              <w:left w:val="single" w:color="auto" w:sz="4" w:space="0"/>
              <w:right w:val="single" w:color="auto" w:sz="4" w:space="0"/>
            </w:tcBorders>
            <w:shd w:val="clear" w:color="000000" w:fill="FFFFFF"/>
            <w:noWrap w:val="0"/>
            <w:vAlign w:val="center"/>
          </w:tcPr>
          <w:p w14:paraId="077F840A">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1.8</w:t>
            </w:r>
          </w:p>
        </w:tc>
      </w:tr>
      <w:tr w14:paraId="56CC1A2B">
        <w:tblPrEx>
          <w:tblCellMar>
            <w:top w:w="0" w:type="dxa"/>
            <w:left w:w="108" w:type="dxa"/>
            <w:bottom w:w="0" w:type="dxa"/>
            <w:right w:w="108" w:type="dxa"/>
          </w:tblCellMar>
        </w:tblPrEx>
        <w:trPr>
          <w:trHeight w:val="23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F04698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D08B5D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F1FE55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BA8E39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02530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2EA48F1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①项目是否有绩效目标；</w:t>
            </w:r>
          </w:p>
        </w:tc>
        <w:tc>
          <w:tcPr>
            <w:tcW w:w="1010" w:type="dxa"/>
            <w:vMerge w:val="continue"/>
            <w:tcBorders>
              <w:left w:val="single" w:color="auto" w:sz="4" w:space="0"/>
              <w:right w:val="single" w:color="auto" w:sz="4" w:space="0"/>
            </w:tcBorders>
            <w:noWrap w:val="0"/>
            <w:vAlign w:val="center"/>
          </w:tcPr>
          <w:p w14:paraId="0E5A81B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75B143BD">
        <w:tblPrEx>
          <w:tblCellMar>
            <w:top w:w="0" w:type="dxa"/>
            <w:left w:w="108" w:type="dxa"/>
            <w:bottom w:w="0" w:type="dxa"/>
            <w:right w:w="108" w:type="dxa"/>
          </w:tblCellMar>
        </w:tblPrEx>
        <w:trPr>
          <w:trHeight w:val="240"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D43004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E56AE3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D689C0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F95792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56CB5E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67C023C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②项目绩效目标与实际工作内容是否具有相关性；</w:t>
            </w:r>
          </w:p>
        </w:tc>
        <w:tc>
          <w:tcPr>
            <w:tcW w:w="1010" w:type="dxa"/>
            <w:vMerge w:val="continue"/>
            <w:tcBorders>
              <w:left w:val="single" w:color="auto" w:sz="4" w:space="0"/>
              <w:right w:val="single" w:color="auto" w:sz="4" w:space="0"/>
            </w:tcBorders>
            <w:noWrap w:val="0"/>
            <w:vAlign w:val="center"/>
          </w:tcPr>
          <w:p w14:paraId="08A8BD2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34B496A9">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F3653A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45AD3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3ABB09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0B4688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AB4D12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single" w:color="auto" w:sz="4" w:space="0"/>
              <w:left w:val="nil"/>
              <w:bottom w:val="single" w:color="auto" w:sz="4" w:space="0"/>
              <w:right w:val="single" w:color="auto" w:sz="4" w:space="0"/>
            </w:tcBorders>
            <w:shd w:val="clear" w:color="000000" w:fill="FFFFFF"/>
            <w:noWrap w:val="0"/>
            <w:vAlign w:val="center"/>
          </w:tcPr>
          <w:p w14:paraId="6CA9D1B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③项目预期产出效益和效果是否符合正常的业绩水平；</w:t>
            </w:r>
          </w:p>
        </w:tc>
        <w:tc>
          <w:tcPr>
            <w:tcW w:w="1010" w:type="dxa"/>
            <w:vMerge w:val="continue"/>
            <w:tcBorders>
              <w:left w:val="single" w:color="auto" w:sz="4" w:space="0"/>
              <w:bottom w:val="single" w:color="000000" w:sz="4" w:space="0"/>
              <w:right w:val="single" w:color="auto" w:sz="4" w:space="0"/>
            </w:tcBorders>
            <w:noWrap w:val="0"/>
            <w:vAlign w:val="center"/>
          </w:tcPr>
          <w:p w14:paraId="2D1C063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3ECEF394">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5F72E68">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19FA9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CD6CF3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D33018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480606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4BBBDE6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c>
          <w:tcPr>
            <w:tcW w:w="1010" w:type="dxa"/>
            <w:vMerge w:val="restart"/>
            <w:tcBorders>
              <w:top w:val="nil"/>
              <w:left w:val="single" w:color="auto" w:sz="4" w:space="0"/>
              <w:right w:val="single" w:color="auto" w:sz="4" w:space="0"/>
            </w:tcBorders>
            <w:noWrap w:val="0"/>
            <w:vAlign w:val="center"/>
          </w:tcPr>
          <w:p w14:paraId="752D242F">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0.6</w:t>
            </w:r>
          </w:p>
        </w:tc>
      </w:tr>
      <w:tr w14:paraId="07AFF022">
        <w:tblPrEx>
          <w:tblCellMar>
            <w:top w:w="0" w:type="dxa"/>
            <w:left w:w="108" w:type="dxa"/>
            <w:bottom w:w="0" w:type="dxa"/>
            <w:right w:w="108" w:type="dxa"/>
          </w:tblCellMar>
        </w:tblPrEx>
        <w:trPr>
          <w:trHeight w:val="355"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9EEFE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11697D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3AB0D71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绩效指标明确性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107DD8D1">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1</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78E9989">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6089" w:type="dxa"/>
            <w:tcBorders>
              <w:top w:val="nil"/>
              <w:left w:val="nil"/>
              <w:bottom w:val="single" w:color="auto" w:sz="4" w:space="0"/>
              <w:right w:val="single" w:color="auto" w:sz="4" w:space="0"/>
            </w:tcBorders>
            <w:shd w:val="clear" w:color="000000" w:fill="FFFFFF"/>
            <w:noWrap w:val="0"/>
            <w:vAlign w:val="center"/>
          </w:tcPr>
          <w:p w14:paraId="52C6E09C">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①是否将项目绩效目标细化分解为具体的绩效指标；</w:t>
            </w:r>
          </w:p>
        </w:tc>
        <w:tc>
          <w:tcPr>
            <w:tcW w:w="1010" w:type="dxa"/>
            <w:vMerge w:val="continue"/>
            <w:tcBorders>
              <w:left w:val="single" w:color="auto" w:sz="4" w:space="0"/>
              <w:right w:val="single" w:color="auto" w:sz="4" w:space="0"/>
            </w:tcBorders>
            <w:noWrap w:val="0"/>
            <w:vAlign w:val="center"/>
          </w:tcPr>
          <w:p w14:paraId="746AE5E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711A10B1">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A4481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066F2B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CCB7F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FD734A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EA0A28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1FE645F0">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②是否通过清晰、可衡量的指标值予以体现；</w:t>
            </w:r>
          </w:p>
        </w:tc>
        <w:tc>
          <w:tcPr>
            <w:tcW w:w="1010" w:type="dxa"/>
            <w:vMerge w:val="continue"/>
            <w:tcBorders>
              <w:left w:val="single" w:color="auto" w:sz="4" w:space="0"/>
              <w:right w:val="single" w:color="auto" w:sz="4" w:space="0"/>
            </w:tcBorders>
            <w:noWrap w:val="0"/>
            <w:vAlign w:val="center"/>
          </w:tcPr>
          <w:p w14:paraId="7C418F38">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7E8C7919">
        <w:tblPrEx>
          <w:tblCellMar>
            <w:top w:w="0" w:type="dxa"/>
            <w:left w:w="108" w:type="dxa"/>
            <w:bottom w:w="0" w:type="dxa"/>
            <w:right w:w="108" w:type="dxa"/>
          </w:tblCellMar>
        </w:tblPrEx>
        <w:trPr>
          <w:trHeight w:val="27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74561B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1F7EF9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A6E49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96EC26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E41FF6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3E788FCD">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③是否与项目目标任务数或计划数相对应。</w:t>
            </w:r>
          </w:p>
        </w:tc>
        <w:tc>
          <w:tcPr>
            <w:tcW w:w="1010" w:type="dxa"/>
            <w:vMerge w:val="continue"/>
            <w:tcBorders>
              <w:left w:val="single" w:color="auto" w:sz="4" w:space="0"/>
              <w:bottom w:val="single" w:color="000000" w:sz="4" w:space="0"/>
              <w:right w:val="single" w:color="auto" w:sz="4" w:space="0"/>
            </w:tcBorders>
            <w:noWrap w:val="0"/>
            <w:vAlign w:val="center"/>
          </w:tcPr>
          <w:p w14:paraId="1499D62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AB4982E">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E909CE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C4AA7E2">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资金投入</w:t>
            </w:r>
          </w:p>
          <w:p w14:paraId="3545E127">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2F0658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预算编制科学性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7CA1E42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2</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78386351">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6089" w:type="dxa"/>
            <w:tcBorders>
              <w:top w:val="nil"/>
              <w:left w:val="nil"/>
              <w:bottom w:val="single" w:color="auto" w:sz="4" w:space="0"/>
              <w:right w:val="single" w:color="auto" w:sz="4" w:space="0"/>
            </w:tcBorders>
            <w:shd w:val="clear" w:color="000000" w:fill="FFFFFF"/>
            <w:noWrap w:val="0"/>
            <w:vAlign w:val="center"/>
          </w:tcPr>
          <w:p w14:paraId="0A462FF9">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①预算编制是否经过科学论证；</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4472C7FC">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1.8</w:t>
            </w:r>
          </w:p>
        </w:tc>
      </w:tr>
      <w:tr w14:paraId="67EACCAE">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55A2F4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9AF042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B82BBF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D2E1499">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C8B581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1EFEB244">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②预算内容与项目内容是否匹配；</w:t>
            </w:r>
          </w:p>
        </w:tc>
        <w:tc>
          <w:tcPr>
            <w:tcW w:w="1010" w:type="dxa"/>
            <w:vMerge w:val="continue"/>
            <w:tcBorders>
              <w:top w:val="nil"/>
              <w:left w:val="single" w:color="auto" w:sz="4" w:space="0"/>
              <w:bottom w:val="single" w:color="000000" w:sz="4" w:space="0"/>
              <w:right w:val="single" w:color="auto" w:sz="4" w:space="0"/>
            </w:tcBorders>
            <w:noWrap w:val="0"/>
            <w:vAlign w:val="center"/>
          </w:tcPr>
          <w:p w14:paraId="702695A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47E39D4A">
        <w:tblPrEx>
          <w:tblCellMar>
            <w:top w:w="0" w:type="dxa"/>
            <w:left w:w="108" w:type="dxa"/>
            <w:bottom w:w="0" w:type="dxa"/>
            <w:right w:w="108" w:type="dxa"/>
          </w:tblCellMar>
        </w:tblPrEx>
        <w:trPr>
          <w:trHeight w:val="37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7F7F9D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863619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8B25C6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96429F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3700D3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2AF34A62">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③预算额度测算依据是否充分，是否按照标准编制；</w:t>
            </w:r>
          </w:p>
        </w:tc>
        <w:tc>
          <w:tcPr>
            <w:tcW w:w="1010" w:type="dxa"/>
            <w:vMerge w:val="continue"/>
            <w:tcBorders>
              <w:top w:val="nil"/>
              <w:left w:val="single" w:color="auto" w:sz="4" w:space="0"/>
              <w:bottom w:val="single" w:color="000000" w:sz="4" w:space="0"/>
              <w:right w:val="single" w:color="auto" w:sz="4" w:space="0"/>
            </w:tcBorders>
            <w:noWrap w:val="0"/>
            <w:vAlign w:val="center"/>
          </w:tcPr>
          <w:p w14:paraId="09DFDA4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27686CA">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330ED2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57477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2A9D14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8135E6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FEB597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37ACC681">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④预算确定的项目投资额或资金量是否与工作任务相匹配。</w:t>
            </w:r>
          </w:p>
        </w:tc>
        <w:tc>
          <w:tcPr>
            <w:tcW w:w="1010" w:type="dxa"/>
            <w:vMerge w:val="continue"/>
            <w:tcBorders>
              <w:top w:val="nil"/>
              <w:left w:val="single" w:color="auto" w:sz="4" w:space="0"/>
              <w:bottom w:val="single" w:color="000000" w:sz="4" w:space="0"/>
              <w:right w:val="single" w:color="auto" w:sz="4" w:space="0"/>
            </w:tcBorders>
            <w:noWrap w:val="0"/>
            <w:vAlign w:val="center"/>
          </w:tcPr>
          <w:p w14:paraId="69CC973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676BF8A2">
        <w:tblPrEx>
          <w:tblCellMar>
            <w:top w:w="0" w:type="dxa"/>
            <w:left w:w="108" w:type="dxa"/>
            <w:bottom w:w="0" w:type="dxa"/>
            <w:right w:w="108" w:type="dxa"/>
          </w:tblCellMar>
        </w:tblPrEx>
        <w:trPr>
          <w:trHeight w:val="333"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C1180C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C72FA2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749A956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资金分配合理性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7806ADC9">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1</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184FC0F">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6089" w:type="dxa"/>
            <w:tcBorders>
              <w:top w:val="nil"/>
              <w:left w:val="nil"/>
              <w:bottom w:val="single" w:color="auto" w:sz="4" w:space="0"/>
              <w:right w:val="single" w:color="auto" w:sz="4" w:space="0"/>
            </w:tcBorders>
            <w:shd w:val="clear" w:color="000000" w:fill="FFFFFF"/>
            <w:noWrap w:val="0"/>
            <w:vAlign w:val="center"/>
          </w:tcPr>
          <w:p w14:paraId="7E44EC55">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①预算资金分配依据是否充分；</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6E6D237C">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1</w:t>
            </w:r>
          </w:p>
        </w:tc>
      </w:tr>
      <w:tr w14:paraId="124B5557">
        <w:tblPrEx>
          <w:tblCellMar>
            <w:top w:w="0" w:type="dxa"/>
            <w:left w:w="108" w:type="dxa"/>
            <w:bottom w:w="0" w:type="dxa"/>
            <w:right w:w="108" w:type="dxa"/>
          </w:tblCellMar>
        </w:tblPrEx>
        <w:trPr>
          <w:trHeight w:val="807"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F4ED4A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CA26CE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054366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F52DF49">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6D823A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2406E14C">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②资金分配额度是否合理，与项目单位或地方实际是否相适应。</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3E4107A">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4449ED82">
        <w:tblPrEx>
          <w:tblCellMar>
            <w:top w:w="0" w:type="dxa"/>
            <w:left w:w="108" w:type="dxa"/>
            <w:bottom w:w="0" w:type="dxa"/>
            <w:right w:w="108" w:type="dxa"/>
          </w:tblCellMar>
        </w:tblPrEx>
        <w:trPr>
          <w:trHeight w:val="296" w:hRule="atLeast"/>
        </w:trPr>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23CA34A">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val="en-US" w:eastAsia="zh-CN"/>
              </w:rPr>
              <w:t>项目</w:t>
            </w:r>
            <w:r>
              <w:rPr>
                <w:rFonts w:hint="eastAsia" w:ascii="宋体" w:hAnsi="宋体" w:cs="宋体"/>
                <w:color w:val="000000"/>
                <w:kern w:val="0"/>
                <w:sz w:val="22"/>
              </w:rPr>
              <w:t>过程</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20分</w:t>
            </w:r>
            <w:r>
              <w:rPr>
                <w:rFonts w:hint="eastAsia" w:ascii="宋体" w:hAnsi="宋体" w:cs="宋体"/>
                <w:color w:val="000000"/>
                <w:kern w:val="0"/>
                <w:sz w:val="22"/>
                <w:lang w:eastAsia="zh-CN"/>
              </w:rPr>
              <w:t>）</w:t>
            </w:r>
          </w:p>
        </w:tc>
        <w:tc>
          <w:tcPr>
            <w:tcW w:w="784" w:type="dxa"/>
            <w:vMerge w:val="restart"/>
            <w:tcBorders>
              <w:top w:val="nil"/>
              <w:left w:val="single" w:color="auto" w:sz="4" w:space="0"/>
              <w:right w:val="single" w:color="auto" w:sz="4" w:space="0"/>
            </w:tcBorders>
            <w:shd w:val="clear" w:color="000000" w:fill="FFFFFF"/>
            <w:noWrap w:val="0"/>
            <w:vAlign w:val="center"/>
          </w:tcPr>
          <w:p w14:paraId="7F2E47B5">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资金管理</w:t>
            </w:r>
          </w:p>
          <w:p w14:paraId="47DBE1A2">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p w14:paraId="454EDC2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1CBCFFF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资金到位率</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1FAE373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2</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55FE8A68">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6089" w:type="dxa"/>
            <w:tcBorders>
              <w:top w:val="nil"/>
              <w:left w:val="nil"/>
              <w:bottom w:val="single" w:color="auto" w:sz="4" w:space="0"/>
              <w:right w:val="single" w:color="auto" w:sz="4" w:space="0"/>
            </w:tcBorders>
            <w:shd w:val="clear" w:color="000000" w:fill="FFFFFF"/>
            <w:noWrap w:val="0"/>
            <w:vAlign w:val="center"/>
          </w:tcPr>
          <w:p w14:paraId="4F29628C">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资金到位率=（实际到位资金/预算资金）×100%。</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0578B812">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2</w:t>
            </w:r>
          </w:p>
        </w:tc>
      </w:tr>
      <w:tr w14:paraId="7E78202E">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B394D4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4C51674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5716D0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407026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7886C2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3D567163">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实际到位资金：一定时期（本年度或项目期）内落实到具体项目的资金。</w:t>
            </w:r>
          </w:p>
        </w:tc>
        <w:tc>
          <w:tcPr>
            <w:tcW w:w="1010" w:type="dxa"/>
            <w:vMerge w:val="continue"/>
            <w:tcBorders>
              <w:top w:val="nil"/>
              <w:left w:val="single" w:color="auto" w:sz="4" w:space="0"/>
              <w:bottom w:val="single" w:color="000000" w:sz="4" w:space="0"/>
              <w:right w:val="single" w:color="auto" w:sz="4" w:space="0"/>
            </w:tcBorders>
            <w:noWrap w:val="0"/>
            <w:vAlign w:val="center"/>
          </w:tcPr>
          <w:p w14:paraId="7D0D7D27">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0D74A4A7">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3275FB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5ADCB18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40765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261E32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F181AA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7349C5D7">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预算资金：一定时期（本年度或项目期）内预算安排到具体项目的资金。</w:t>
            </w:r>
          </w:p>
        </w:tc>
        <w:tc>
          <w:tcPr>
            <w:tcW w:w="1010" w:type="dxa"/>
            <w:vMerge w:val="continue"/>
            <w:tcBorders>
              <w:top w:val="nil"/>
              <w:left w:val="single" w:color="auto" w:sz="4" w:space="0"/>
              <w:bottom w:val="single" w:color="000000" w:sz="4" w:space="0"/>
              <w:right w:val="single" w:color="auto" w:sz="4" w:space="0"/>
            </w:tcBorders>
            <w:noWrap w:val="0"/>
            <w:vAlign w:val="center"/>
          </w:tcPr>
          <w:p w14:paraId="1950F7A9">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1A90392C">
        <w:tblPrEx>
          <w:tblCellMar>
            <w:top w:w="0" w:type="dxa"/>
            <w:left w:w="108" w:type="dxa"/>
            <w:bottom w:w="0" w:type="dxa"/>
            <w:right w:w="108" w:type="dxa"/>
          </w:tblCellMar>
        </w:tblPrEx>
        <w:trPr>
          <w:trHeight w:val="36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BF2D3B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5069F84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3BC56C1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预算执行率</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692565C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5</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4F1E0CF4">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6089" w:type="dxa"/>
            <w:tcBorders>
              <w:top w:val="nil"/>
              <w:left w:val="nil"/>
              <w:bottom w:val="single" w:color="auto" w:sz="4" w:space="0"/>
              <w:right w:val="single" w:color="auto" w:sz="4" w:space="0"/>
            </w:tcBorders>
            <w:shd w:val="clear" w:color="000000" w:fill="FFFFFF"/>
            <w:noWrap w:val="0"/>
            <w:vAlign w:val="center"/>
          </w:tcPr>
          <w:p w14:paraId="78BC9B51">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预算执行率=（实际支出资金/实际到位资金）×100%。</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10D3B749">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5</w:t>
            </w:r>
          </w:p>
        </w:tc>
      </w:tr>
      <w:tr w14:paraId="1E6519FE">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52F3E9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622C941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4FBFB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8BC1D6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F8EC16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1F36EF83">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实际支出资金：一定时期（本年度或项目期）内项目实际拨付的资金。</w:t>
            </w:r>
          </w:p>
        </w:tc>
        <w:tc>
          <w:tcPr>
            <w:tcW w:w="1010" w:type="dxa"/>
            <w:vMerge w:val="continue"/>
            <w:tcBorders>
              <w:top w:val="nil"/>
              <w:left w:val="single" w:color="auto" w:sz="4" w:space="0"/>
              <w:bottom w:val="single" w:color="000000" w:sz="4" w:space="0"/>
              <w:right w:val="single" w:color="auto" w:sz="4" w:space="0"/>
            </w:tcBorders>
            <w:noWrap w:val="0"/>
            <w:vAlign w:val="center"/>
          </w:tcPr>
          <w:p w14:paraId="2AA36C2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67F5E5C4">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A7029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000000" w:fill="FFFFFF"/>
            <w:noWrap w:val="0"/>
            <w:vAlign w:val="center"/>
          </w:tcPr>
          <w:p w14:paraId="4A980ABF">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68F4CF4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资金使用合规性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295C6157">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lang w:val="en-US" w:eastAsia="zh-CN"/>
              </w:rPr>
              <w:t>3</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67547D5A">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6089" w:type="dxa"/>
            <w:tcBorders>
              <w:top w:val="nil"/>
              <w:left w:val="nil"/>
              <w:bottom w:val="single" w:color="auto" w:sz="4" w:space="0"/>
              <w:right w:val="single" w:color="auto" w:sz="4" w:space="0"/>
            </w:tcBorders>
            <w:shd w:val="clear" w:color="000000" w:fill="FFFFFF"/>
            <w:noWrap w:val="0"/>
            <w:vAlign w:val="center"/>
          </w:tcPr>
          <w:p w14:paraId="07454C2F">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①是否符合国家财经法规和财务管理制度以及有关专项资金管理办法的规定；</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0F392731">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3</w:t>
            </w:r>
          </w:p>
        </w:tc>
      </w:tr>
      <w:tr w14:paraId="2A8192BA">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696C81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254D8D4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83E9C5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DFA300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46EB6C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0023D5C5">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②资金的拨付是否有完整的审批程序和手续；</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DE17F4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54AD53BB">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7E1641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right w:val="single" w:color="auto" w:sz="4" w:space="0"/>
            </w:tcBorders>
            <w:shd w:val="clear" w:color="auto" w:fill="auto"/>
            <w:noWrap w:val="0"/>
            <w:vAlign w:val="center"/>
          </w:tcPr>
          <w:p w14:paraId="7A74727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1B104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CF9E46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D7EEFC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0C9643CD">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③是否符合项目预算批复或合同规定的用途；</w:t>
            </w:r>
          </w:p>
        </w:tc>
        <w:tc>
          <w:tcPr>
            <w:tcW w:w="1010" w:type="dxa"/>
            <w:vMerge w:val="continue"/>
            <w:tcBorders>
              <w:top w:val="nil"/>
              <w:left w:val="single" w:color="auto" w:sz="4" w:space="0"/>
              <w:bottom w:val="single" w:color="000000" w:sz="4" w:space="0"/>
              <w:right w:val="single" w:color="auto" w:sz="4" w:space="0"/>
            </w:tcBorders>
            <w:noWrap w:val="0"/>
            <w:vAlign w:val="center"/>
          </w:tcPr>
          <w:p w14:paraId="60CE758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1433D20D">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C4534D8">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single" w:color="auto" w:sz="4" w:space="0"/>
              <w:bottom w:val="single" w:color="auto" w:sz="4" w:space="0"/>
              <w:right w:val="single" w:color="auto" w:sz="4" w:space="0"/>
            </w:tcBorders>
            <w:shd w:val="clear" w:color="auto" w:fill="auto"/>
            <w:noWrap w:val="0"/>
            <w:vAlign w:val="center"/>
          </w:tcPr>
          <w:p w14:paraId="6A9ADCA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241B96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0CD437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D3432B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7D6A338A">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④是否存在截留、挤占、挪用、虚列支出等情况。</w:t>
            </w:r>
          </w:p>
        </w:tc>
        <w:tc>
          <w:tcPr>
            <w:tcW w:w="1010" w:type="dxa"/>
            <w:vMerge w:val="continue"/>
            <w:tcBorders>
              <w:top w:val="nil"/>
              <w:left w:val="single" w:color="auto" w:sz="4" w:space="0"/>
              <w:bottom w:val="single" w:color="000000" w:sz="4" w:space="0"/>
              <w:right w:val="single" w:color="auto" w:sz="4" w:space="0"/>
            </w:tcBorders>
            <w:noWrap w:val="0"/>
            <w:vAlign w:val="center"/>
          </w:tcPr>
          <w:p w14:paraId="0C21713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4CFB8B64">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45B3B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49EAFFA9">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组织实施</w:t>
            </w:r>
          </w:p>
          <w:p w14:paraId="25D025B1">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7B6C163F">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管理制度健全性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23035C4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5</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66D1504">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6089" w:type="dxa"/>
            <w:tcBorders>
              <w:top w:val="nil"/>
              <w:left w:val="nil"/>
              <w:bottom w:val="single" w:color="auto" w:sz="4" w:space="0"/>
              <w:right w:val="single" w:color="auto" w:sz="4" w:space="0"/>
            </w:tcBorders>
            <w:shd w:val="clear" w:color="000000" w:fill="FFFFFF"/>
            <w:noWrap w:val="0"/>
            <w:vAlign w:val="center"/>
          </w:tcPr>
          <w:p w14:paraId="3927E1F9">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①是否已制定或具有相应的财务和业务管理制度；</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70500AAD">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4.2</w:t>
            </w:r>
          </w:p>
        </w:tc>
      </w:tr>
      <w:tr w14:paraId="7BC3D83F">
        <w:tblPrEx>
          <w:tblCellMar>
            <w:top w:w="0" w:type="dxa"/>
            <w:left w:w="108" w:type="dxa"/>
            <w:bottom w:w="0" w:type="dxa"/>
            <w:right w:w="108" w:type="dxa"/>
          </w:tblCellMar>
        </w:tblPrEx>
        <w:trPr>
          <w:trHeight w:val="633"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3839C0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A692F3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888B0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52F7E77">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5962FA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44228241">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②财务和业务管理制度是否合法、合规、完整。</w:t>
            </w:r>
          </w:p>
        </w:tc>
        <w:tc>
          <w:tcPr>
            <w:tcW w:w="1010" w:type="dxa"/>
            <w:vMerge w:val="continue"/>
            <w:tcBorders>
              <w:top w:val="nil"/>
              <w:left w:val="single" w:color="auto" w:sz="4" w:space="0"/>
              <w:bottom w:val="single" w:color="000000" w:sz="4" w:space="0"/>
              <w:right w:val="single" w:color="auto" w:sz="4" w:space="0"/>
            </w:tcBorders>
            <w:noWrap w:val="0"/>
            <w:vAlign w:val="center"/>
          </w:tcPr>
          <w:p w14:paraId="19EB353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704679BD">
        <w:tblPrEx>
          <w:tblCellMar>
            <w:top w:w="0" w:type="dxa"/>
            <w:left w:w="108" w:type="dxa"/>
            <w:bottom w:w="0" w:type="dxa"/>
            <w:right w:w="108" w:type="dxa"/>
          </w:tblCellMar>
        </w:tblPrEx>
        <w:trPr>
          <w:trHeight w:val="296"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E9D48F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873DC2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5ED4EDE">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制度执行有效性</w:t>
            </w:r>
          </w:p>
        </w:tc>
        <w:tc>
          <w:tcPr>
            <w:tcW w:w="784"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393B05EC">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5</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F408991">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6089" w:type="dxa"/>
            <w:tcBorders>
              <w:top w:val="nil"/>
              <w:left w:val="nil"/>
              <w:bottom w:val="single" w:color="auto" w:sz="4" w:space="0"/>
              <w:right w:val="single" w:color="auto" w:sz="4" w:space="0"/>
            </w:tcBorders>
            <w:shd w:val="clear" w:color="000000" w:fill="FFFFFF"/>
            <w:noWrap w:val="0"/>
            <w:vAlign w:val="center"/>
          </w:tcPr>
          <w:p w14:paraId="5A83D9A8">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①是否遵守相关法律法规和相关管理规定；</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5599CA78">
            <w:pPr>
              <w:keepNext w:val="0"/>
              <w:keepLines w:val="0"/>
              <w:widowControl/>
              <w:suppressLineNumbers w:val="0"/>
              <w:spacing w:line="560" w:lineRule="exact"/>
              <w:jc w:val="center"/>
              <w:textAlignment w:val="center"/>
              <w:rPr>
                <w:rFonts w:ascii="宋体" w:hAnsi="宋体" w:cs="宋体"/>
                <w:color w:val="000000"/>
                <w:kern w:val="0"/>
                <w:sz w:val="22"/>
              </w:rPr>
            </w:pPr>
            <w:r>
              <w:rPr>
                <w:rFonts w:hint="eastAsia" w:ascii="宋体" w:hAnsi="宋体" w:eastAsia="宋体" w:cs="宋体"/>
                <w:i w:val="0"/>
                <w:iCs w:val="0"/>
                <w:color w:val="000000"/>
                <w:kern w:val="0"/>
                <w:sz w:val="20"/>
                <w:szCs w:val="20"/>
                <w:u w:val="none"/>
                <w:lang w:val="en-US" w:eastAsia="zh-CN" w:bidi="ar"/>
              </w:rPr>
              <w:t>4.1</w:t>
            </w:r>
          </w:p>
        </w:tc>
      </w:tr>
      <w:tr w14:paraId="1E3B973D">
        <w:tblPrEx>
          <w:tblCellMar>
            <w:top w:w="0" w:type="dxa"/>
            <w:left w:w="108" w:type="dxa"/>
            <w:bottom w:w="0" w:type="dxa"/>
            <w:right w:w="108" w:type="dxa"/>
          </w:tblCellMar>
        </w:tblPrEx>
        <w:trPr>
          <w:trHeight w:val="23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7B5A77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74C94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641DAC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C4B79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8985D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31836EB7">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②项目调整及支出调整手续是否完备；</w:t>
            </w:r>
          </w:p>
        </w:tc>
        <w:tc>
          <w:tcPr>
            <w:tcW w:w="1010" w:type="dxa"/>
            <w:vMerge w:val="continue"/>
            <w:tcBorders>
              <w:top w:val="nil"/>
              <w:left w:val="single" w:color="auto" w:sz="4" w:space="0"/>
              <w:bottom w:val="single" w:color="000000" w:sz="4" w:space="0"/>
              <w:right w:val="single" w:color="auto" w:sz="4" w:space="0"/>
            </w:tcBorders>
            <w:noWrap w:val="0"/>
            <w:vAlign w:val="center"/>
          </w:tcPr>
          <w:p w14:paraId="22990A4F">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73B5866C">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CC0175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FE5A4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2AAF4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D357FB3">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1648B4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69E9D176">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③项目合同书、验收报告、技术鉴定等资料是否齐全并及时归档；</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1287D3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17608076">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E32F3B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6C8A60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1D1438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DA6F921">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83653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785D0E65">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④项目实施的人员条件、场地设备、信息支撑等是否落实到位。</w:t>
            </w:r>
          </w:p>
        </w:tc>
        <w:tc>
          <w:tcPr>
            <w:tcW w:w="1010" w:type="dxa"/>
            <w:vMerge w:val="continue"/>
            <w:tcBorders>
              <w:top w:val="nil"/>
              <w:left w:val="single" w:color="auto" w:sz="4" w:space="0"/>
              <w:bottom w:val="single" w:color="000000" w:sz="4" w:space="0"/>
              <w:right w:val="single" w:color="auto" w:sz="4" w:space="0"/>
            </w:tcBorders>
            <w:noWrap w:val="0"/>
            <w:vAlign w:val="center"/>
          </w:tcPr>
          <w:p w14:paraId="4B96130F">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2443D6F9">
        <w:tblPrEx>
          <w:tblCellMar>
            <w:top w:w="0" w:type="dxa"/>
            <w:left w:w="108" w:type="dxa"/>
            <w:bottom w:w="0" w:type="dxa"/>
            <w:right w:w="108" w:type="dxa"/>
          </w:tblCellMar>
        </w:tblPrEx>
        <w:trPr>
          <w:trHeight w:val="296" w:hRule="atLeast"/>
        </w:trPr>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6833B906">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lang w:val="en-US" w:eastAsia="zh-CN"/>
              </w:rPr>
              <w:t>项目</w:t>
            </w:r>
            <w:r>
              <w:rPr>
                <w:rFonts w:hint="eastAsia" w:ascii="宋体" w:hAnsi="宋体" w:cs="宋体"/>
                <w:color w:val="000000"/>
                <w:kern w:val="0"/>
                <w:sz w:val="22"/>
              </w:rPr>
              <w:t>产出</w:t>
            </w:r>
          </w:p>
          <w:p w14:paraId="67E238B1">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40分</w:t>
            </w:r>
            <w:r>
              <w:rPr>
                <w:rFonts w:hint="eastAsia" w:ascii="宋体" w:hAnsi="宋体" w:cs="宋体"/>
                <w:color w:val="000000"/>
                <w:kern w:val="0"/>
                <w:sz w:val="22"/>
                <w:lang w:eastAsia="zh-CN"/>
              </w:rPr>
              <w:t>）</w:t>
            </w: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1AD2E166">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产出数量</w:t>
            </w:r>
          </w:p>
          <w:p w14:paraId="2E530FED">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2169CAA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实际完成率</w:t>
            </w:r>
          </w:p>
        </w:tc>
        <w:tc>
          <w:tcPr>
            <w:tcW w:w="784" w:type="dxa"/>
            <w:vMerge w:val="restart"/>
            <w:tcBorders>
              <w:top w:val="nil"/>
              <w:left w:val="nil"/>
              <w:right w:val="single" w:color="auto" w:sz="4" w:space="0"/>
            </w:tcBorders>
            <w:shd w:val="clear" w:color="000000" w:fill="FFFFFF"/>
            <w:noWrap w:val="0"/>
            <w:vAlign w:val="center"/>
          </w:tcPr>
          <w:p w14:paraId="326C6772">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lang w:val="en-US" w:eastAsia="zh-CN"/>
              </w:rPr>
              <w:t>10</w:t>
            </w:r>
          </w:p>
          <w:p w14:paraId="18FF59C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40BCB428">
            <w:pPr>
              <w:keepNext w:val="0"/>
              <w:keepLines w:val="0"/>
              <w:pageBreakBefore w:val="0"/>
              <w:widowControl w:val="0"/>
              <w:kinsoku/>
              <w:wordWrap/>
              <w:overflowPunct/>
              <w:topLinePunct w:val="0"/>
              <w:autoSpaceDE/>
              <w:autoSpaceDN/>
              <w:bidi w:val="0"/>
              <w:spacing w:line="560" w:lineRule="exact"/>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宣传片中英文长版5-6分钟；短版2-3分钟。</w:t>
            </w:r>
          </w:p>
        </w:tc>
        <w:tc>
          <w:tcPr>
            <w:tcW w:w="6089" w:type="dxa"/>
            <w:tcBorders>
              <w:top w:val="nil"/>
              <w:left w:val="nil"/>
              <w:bottom w:val="single" w:color="auto" w:sz="4" w:space="0"/>
              <w:right w:val="single" w:color="auto" w:sz="4" w:space="0"/>
            </w:tcBorders>
            <w:shd w:val="clear" w:color="000000" w:fill="FFFFFF"/>
            <w:noWrap w:val="0"/>
            <w:vAlign w:val="center"/>
          </w:tcPr>
          <w:p w14:paraId="54733CF6">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实际完成率=（实际产出数/计划产出数）×100%。</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3D6A14C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9.2</w:t>
            </w:r>
          </w:p>
        </w:tc>
      </w:tr>
      <w:tr w14:paraId="495EBB7D">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D9A541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274660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8363FD8">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nil"/>
              <w:right w:val="single" w:color="auto" w:sz="4" w:space="0"/>
            </w:tcBorders>
            <w:shd w:val="clear" w:color="000000" w:fill="FFFFFF"/>
            <w:noWrap w:val="0"/>
            <w:vAlign w:val="center"/>
          </w:tcPr>
          <w:p w14:paraId="1B74A5D7">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F5BADB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7C923070">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实际产出数：一定时期（本年度或项目期）内项目实际产出的产品或提供的服务数量。</w:t>
            </w:r>
          </w:p>
        </w:tc>
        <w:tc>
          <w:tcPr>
            <w:tcW w:w="1010" w:type="dxa"/>
            <w:vMerge w:val="continue"/>
            <w:tcBorders>
              <w:top w:val="nil"/>
              <w:left w:val="single" w:color="auto" w:sz="4" w:space="0"/>
              <w:bottom w:val="single" w:color="000000" w:sz="4" w:space="0"/>
              <w:right w:val="single" w:color="auto" w:sz="4" w:space="0"/>
            </w:tcBorders>
            <w:noWrap w:val="0"/>
            <w:vAlign w:val="center"/>
          </w:tcPr>
          <w:p w14:paraId="5542088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269EA4F7">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EFD3B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CD2789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4C1315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nil"/>
              <w:bottom w:val="single" w:color="auto" w:sz="4" w:space="0"/>
              <w:right w:val="single" w:color="auto" w:sz="4" w:space="0"/>
            </w:tcBorders>
            <w:shd w:val="clear" w:color="000000" w:fill="FFFFFF"/>
            <w:noWrap w:val="0"/>
            <w:vAlign w:val="center"/>
          </w:tcPr>
          <w:p w14:paraId="05B899C2">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33C40D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09C97276">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计划产出数：项目绩效目标确定的在一定时期（本年度或项目期）内计划产出的产品或提供的服务数量。</w:t>
            </w:r>
          </w:p>
        </w:tc>
        <w:tc>
          <w:tcPr>
            <w:tcW w:w="1010" w:type="dxa"/>
            <w:vMerge w:val="continue"/>
            <w:tcBorders>
              <w:top w:val="nil"/>
              <w:left w:val="single" w:color="auto" w:sz="4" w:space="0"/>
              <w:bottom w:val="single" w:color="000000" w:sz="4" w:space="0"/>
              <w:right w:val="single" w:color="auto" w:sz="4" w:space="0"/>
            </w:tcBorders>
            <w:noWrap w:val="0"/>
            <w:vAlign w:val="center"/>
          </w:tcPr>
          <w:p w14:paraId="37C6327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5197D6A3">
        <w:tblPrEx>
          <w:tblCellMar>
            <w:top w:w="0" w:type="dxa"/>
            <w:left w:w="108" w:type="dxa"/>
            <w:bottom w:w="0" w:type="dxa"/>
            <w:right w:w="108" w:type="dxa"/>
          </w:tblCellMar>
        </w:tblPrEx>
        <w:trPr>
          <w:trHeight w:val="421"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A8C2A5">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nil"/>
              <w:bottom w:val="single" w:color="auto" w:sz="4" w:space="0"/>
              <w:right w:val="single" w:color="auto" w:sz="4" w:space="0"/>
            </w:tcBorders>
            <w:shd w:val="clear" w:color="000000" w:fill="FFFFFF"/>
            <w:noWrap w:val="0"/>
            <w:vAlign w:val="center"/>
          </w:tcPr>
          <w:p w14:paraId="009CE1A0">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产出质量</w:t>
            </w:r>
          </w:p>
          <w:p w14:paraId="51E21B9E">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545C7EA3">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质量达标率</w:t>
            </w:r>
          </w:p>
        </w:tc>
        <w:tc>
          <w:tcPr>
            <w:tcW w:w="784" w:type="dxa"/>
            <w:vMerge w:val="restart"/>
            <w:tcBorders>
              <w:top w:val="nil"/>
              <w:left w:val="nil"/>
              <w:right w:val="single" w:color="auto" w:sz="4" w:space="0"/>
            </w:tcBorders>
            <w:shd w:val="clear" w:color="000000" w:fill="FFFFFF"/>
            <w:noWrap w:val="0"/>
            <w:vAlign w:val="center"/>
          </w:tcPr>
          <w:p w14:paraId="3747613B">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p>
          <w:p w14:paraId="4147041B">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4B0AAA26">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宣传片全面直观的展示北京市整体形象、城市特点、经济发展成就、功能区特色、产业发展现状、政府服务、投资促进政策等。</w:t>
            </w:r>
            <w:r>
              <w:rPr>
                <w:rFonts w:hint="eastAsia" w:ascii="宋体" w:hAnsi="宋体" w:cs="宋体"/>
                <w:color w:val="000000"/>
                <w:kern w:val="0"/>
                <w:sz w:val="22"/>
              </w:rPr>
              <w:tab/>
            </w:r>
          </w:p>
        </w:tc>
        <w:tc>
          <w:tcPr>
            <w:tcW w:w="6089" w:type="dxa"/>
            <w:tcBorders>
              <w:top w:val="nil"/>
              <w:left w:val="nil"/>
              <w:bottom w:val="nil"/>
              <w:right w:val="single" w:color="auto" w:sz="4" w:space="0"/>
            </w:tcBorders>
            <w:shd w:val="clear" w:color="000000" w:fill="FFFFFF"/>
            <w:noWrap w:val="0"/>
            <w:vAlign w:val="center"/>
          </w:tcPr>
          <w:p w14:paraId="7716588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质量达标率=（质量达标产出数/实际产出数）×100%。</w:t>
            </w:r>
          </w:p>
        </w:tc>
        <w:tc>
          <w:tcPr>
            <w:tcW w:w="1010" w:type="dxa"/>
            <w:vMerge w:val="restart"/>
            <w:tcBorders>
              <w:top w:val="nil"/>
              <w:left w:val="single" w:color="auto" w:sz="4" w:space="0"/>
              <w:bottom w:val="single" w:color="000000" w:sz="4" w:space="0"/>
              <w:right w:val="single" w:color="auto" w:sz="4" w:space="0"/>
            </w:tcBorders>
            <w:shd w:val="clear" w:color="000000" w:fill="FFFFFF"/>
            <w:noWrap w:val="0"/>
            <w:vAlign w:val="center"/>
          </w:tcPr>
          <w:p w14:paraId="3CAD832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9</w:t>
            </w:r>
          </w:p>
        </w:tc>
      </w:tr>
      <w:tr w14:paraId="3CDBBAC4">
        <w:tblPrEx>
          <w:tblCellMar>
            <w:top w:w="0" w:type="dxa"/>
            <w:left w:w="108" w:type="dxa"/>
            <w:bottom w:w="0" w:type="dxa"/>
            <w:right w:w="108" w:type="dxa"/>
          </w:tblCellMar>
        </w:tblPrEx>
        <w:trPr>
          <w:trHeight w:val="929"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00AB5C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nil"/>
              <w:bottom w:val="single" w:color="auto" w:sz="4" w:space="0"/>
              <w:right w:val="single" w:color="auto" w:sz="4" w:space="0"/>
            </w:tcBorders>
            <w:shd w:val="clear" w:color="auto" w:fill="auto"/>
            <w:noWrap w:val="0"/>
            <w:vAlign w:val="center"/>
          </w:tcPr>
          <w:p w14:paraId="36BD6989">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AAF139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nil"/>
              <w:bottom w:val="single" w:color="auto" w:sz="4" w:space="0"/>
              <w:right w:val="single" w:color="auto" w:sz="4" w:space="0"/>
            </w:tcBorders>
            <w:shd w:val="clear" w:color="000000" w:fill="FFFFFF"/>
            <w:noWrap w:val="0"/>
            <w:vAlign w:val="center"/>
          </w:tcPr>
          <w:p w14:paraId="3783943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EA4AB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5890A09C">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10" w:type="dxa"/>
            <w:vMerge w:val="continue"/>
            <w:tcBorders>
              <w:top w:val="nil"/>
              <w:left w:val="single" w:color="auto" w:sz="4" w:space="0"/>
              <w:bottom w:val="single" w:color="000000" w:sz="4" w:space="0"/>
              <w:right w:val="single" w:color="auto" w:sz="4" w:space="0"/>
            </w:tcBorders>
            <w:noWrap w:val="0"/>
            <w:vAlign w:val="center"/>
          </w:tcPr>
          <w:p w14:paraId="42B7F19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r>
      <w:tr w14:paraId="7B0EA8B6">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FCCF4D2">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nil"/>
              <w:bottom w:val="single" w:color="auto" w:sz="4" w:space="0"/>
              <w:right w:val="single" w:color="auto" w:sz="4" w:space="0"/>
            </w:tcBorders>
            <w:shd w:val="clear" w:color="000000" w:fill="FFFFFF"/>
            <w:noWrap w:val="0"/>
            <w:vAlign w:val="center"/>
          </w:tcPr>
          <w:p w14:paraId="37EAB3FC">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产出时效</w:t>
            </w:r>
          </w:p>
          <w:p w14:paraId="77D231D0">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6DCD6C63">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完成及时性</w:t>
            </w:r>
          </w:p>
        </w:tc>
        <w:tc>
          <w:tcPr>
            <w:tcW w:w="784" w:type="dxa"/>
            <w:vMerge w:val="restart"/>
            <w:tcBorders>
              <w:top w:val="nil"/>
              <w:left w:val="nil"/>
              <w:right w:val="single" w:color="auto" w:sz="4" w:space="0"/>
            </w:tcBorders>
            <w:shd w:val="clear" w:color="000000" w:fill="FFFFFF"/>
            <w:noWrap w:val="0"/>
            <w:vAlign w:val="center"/>
          </w:tcPr>
          <w:p w14:paraId="7BF547B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10</w:t>
            </w:r>
          </w:p>
        </w:tc>
        <w:tc>
          <w:tcPr>
            <w:tcW w:w="359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47210C6">
            <w:pPr>
              <w:keepNext w:val="0"/>
              <w:keepLines w:val="0"/>
              <w:pageBreakBefore w:val="0"/>
              <w:widowControl w:val="0"/>
              <w:kinsoku/>
              <w:wordWrap/>
              <w:overflowPunct/>
              <w:topLinePunct w:val="0"/>
              <w:autoSpaceDE/>
              <w:autoSpaceDN/>
              <w:bidi w:val="0"/>
              <w:spacing w:line="560" w:lineRule="exact"/>
              <w:rPr>
                <w:rFonts w:hint="eastAsia" w:ascii="宋体" w:hAnsi="宋体" w:eastAsia="宋体" w:cs="宋体"/>
                <w:color w:val="000000"/>
                <w:kern w:val="0"/>
                <w:sz w:val="22"/>
                <w:lang w:val="en-US" w:eastAsia="zh-CN"/>
              </w:rPr>
            </w:pPr>
            <w:r>
              <w:rPr>
                <w:rFonts w:hint="eastAsia" w:ascii="宋体" w:hAnsi="宋体" w:cs="宋体"/>
                <w:color w:val="000000"/>
                <w:kern w:val="0"/>
                <w:sz w:val="22"/>
                <w:lang w:val="en-US" w:eastAsia="zh-CN"/>
              </w:rPr>
              <w:t>配合</w:t>
            </w:r>
            <w:r>
              <w:rPr>
                <w:rFonts w:hint="eastAsia" w:ascii="宋体" w:hAnsi="宋体" w:cs="宋体"/>
                <w:color w:val="000000"/>
                <w:kern w:val="0"/>
                <w:sz w:val="22"/>
              </w:rPr>
              <w:t>京港会宣传工作</w:t>
            </w:r>
            <w:r>
              <w:rPr>
                <w:rFonts w:hint="eastAsia" w:ascii="宋体" w:hAnsi="宋体" w:cs="宋体"/>
                <w:color w:val="000000"/>
                <w:kern w:val="0"/>
                <w:sz w:val="22"/>
                <w:lang w:val="en-US" w:eastAsia="zh-CN"/>
              </w:rPr>
              <w:t>时间</w:t>
            </w:r>
          </w:p>
        </w:tc>
        <w:tc>
          <w:tcPr>
            <w:tcW w:w="6089" w:type="dxa"/>
            <w:tcBorders>
              <w:top w:val="nil"/>
              <w:left w:val="nil"/>
              <w:bottom w:val="nil"/>
              <w:right w:val="single" w:color="auto" w:sz="4" w:space="0"/>
            </w:tcBorders>
            <w:shd w:val="clear" w:color="000000" w:fill="FFFFFF"/>
            <w:noWrap w:val="0"/>
            <w:vAlign w:val="center"/>
          </w:tcPr>
          <w:p w14:paraId="63A283D8">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p>
        </w:tc>
        <w:tc>
          <w:tcPr>
            <w:tcW w:w="1010" w:type="dxa"/>
            <w:vMerge w:val="restart"/>
            <w:tcBorders>
              <w:top w:val="nil"/>
              <w:left w:val="nil"/>
              <w:right w:val="single" w:color="auto" w:sz="4" w:space="0"/>
            </w:tcBorders>
            <w:shd w:val="clear" w:color="000000" w:fill="FFFFFF"/>
            <w:noWrap w:val="0"/>
            <w:vAlign w:val="center"/>
          </w:tcPr>
          <w:p w14:paraId="5BA12C7E">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7.6</w:t>
            </w:r>
          </w:p>
        </w:tc>
      </w:tr>
      <w:tr w14:paraId="2D745E33">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D1AA1A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nil"/>
              <w:bottom w:val="single" w:color="auto" w:sz="4" w:space="0"/>
              <w:right w:val="single" w:color="auto" w:sz="4" w:space="0"/>
            </w:tcBorders>
            <w:shd w:val="clear" w:color="auto" w:fill="auto"/>
            <w:noWrap w:val="0"/>
            <w:vAlign w:val="center"/>
          </w:tcPr>
          <w:p w14:paraId="614E7F9B">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261EED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left w:val="nil"/>
              <w:bottom w:val="single" w:color="auto" w:sz="4" w:space="0"/>
              <w:right w:val="single" w:color="auto" w:sz="4" w:space="0"/>
            </w:tcBorders>
            <w:shd w:val="clear" w:color="000000" w:fill="FFFFFF"/>
            <w:noWrap w:val="0"/>
            <w:vAlign w:val="center"/>
          </w:tcPr>
          <w:p w14:paraId="6BC31DF8">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5126DA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single" w:color="auto" w:sz="4" w:space="0"/>
              <w:right w:val="single" w:color="auto" w:sz="4" w:space="0"/>
            </w:tcBorders>
            <w:shd w:val="clear" w:color="000000" w:fill="FFFFFF"/>
            <w:noWrap w:val="0"/>
            <w:vAlign w:val="center"/>
          </w:tcPr>
          <w:p w14:paraId="5AE6FACF">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计划完成时间：按照项目实施计划或相关规定完成该项目所需的时间。</w:t>
            </w:r>
          </w:p>
        </w:tc>
        <w:tc>
          <w:tcPr>
            <w:tcW w:w="1010" w:type="dxa"/>
            <w:vMerge w:val="continue"/>
            <w:tcBorders>
              <w:left w:val="nil"/>
              <w:bottom w:val="single" w:color="auto" w:sz="4" w:space="0"/>
              <w:right w:val="single" w:color="auto" w:sz="4" w:space="0"/>
            </w:tcBorders>
            <w:shd w:val="clear" w:color="000000" w:fill="FFFFFF"/>
            <w:noWrap w:val="0"/>
            <w:vAlign w:val="center"/>
          </w:tcPr>
          <w:p w14:paraId="34E5FBE8">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66D7E2C3">
        <w:tblPrEx>
          <w:tblCellMar>
            <w:top w:w="0" w:type="dxa"/>
            <w:left w:w="108" w:type="dxa"/>
            <w:bottom w:w="0" w:type="dxa"/>
            <w:right w:w="108" w:type="dxa"/>
          </w:tblCellMar>
        </w:tblPrEx>
        <w:trPr>
          <w:trHeight w:val="462"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D18A220">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restart"/>
            <w:tcBorders>
              <w:top w:val="nil"/>
              <w:left w:val="nil"/>
              <w:bottom w:val="single" w:color="auto" w:sz="4" w:space="0"/>
              <w:right w:val="single" w:color="auto" w:sz="4" w:space="0"/>
            </w:tcBorders>
            <w:shd w:val="clear" w:color="000000" w:fill="FFFFFF"/>
            <w:noWrap w:val="0"/>
            <w:vAlign w:val="center"/>
          </w:tcPr>
          <w:p w14:paraId="2142FB79">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产出成本</w:t>
            </w:r>
          </w:p>
          <w:p w14:paraId="153EF585">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807"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72D13FC9">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成本节约率</w:t>
            </w:r>
          </w:p>
        </w:tc>
        <w:tc>
          <w:tcPr>
            <w:tcW w:w="784" w:type="dxa"/>
            <w:vMerge w:val="restart"/>
            <w:tcBorders>
              <w:top w:val="nil"/>
              <w:left w:val="single" w:color="auto" w:sz="4" w:space="0"/>
              <w:bottom w:val="single" w:color="auto" w:sz="4" w:space="0"/>
              <w:right w:val="nil"/>
            </w:tcBorders>
            <w:shd w:val="clear" w:color="000000" w:fill="FFFFFF"/>
            <w:noWrap w:val="0"/>
            <w:vAlign w:val="center"/>
          </w:tcPr>
          <w:p w14:paraId="6DCD390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10</w:t>
            </w:r>
          </w:p>
        </w:tc>
        <w:tc>
          <w:tcPr>
            <w:tcW w:w="35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D660E0F">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项目成本不超过</w:t>
            </w:r>
            <w:r>
              <w:rPr>
                <w:rFonts w:hint="eastAsia" w:ascii="宋体" w:hAnsi="宋体" w:cs="宋体"/>
                <w:color w:val="000000"/>
                <w:kern w:val="0"/>
                <w:sz w:val="22"/>
                <w:lang w:val="en-US" w:eastAsia="zh-CN"/>
              </w:rPr>
              <w:t>146.32</w:t>
            </w:r>
            <w:r>
              <w:rPr>
                <w:rFonts w:hint="eastAsia" w:ascii="宋体" w:hAnsi="宋体" w:cs="宋体"/>
                <w:color w:val="000000"/>
                <w:kern w:val="0"/>
                <w:sz w:val="22"/>
              </w:rPr>
              <w:t>万元</w:t>
            </w:r>
          </w:p>
        </w:tc>
        <w:tc>
          <w:tcPr>
            <w:tcW w:w="6089" w:type="dxa"/>
            <w:tcBorders>
              <w:top w:val="nil"/>
              <w:left w:val="nil"/>
              <w:bottom w:val="nil"/>
              <w:right w:val="nil"/>
            </w:tcBorders>
            <w:shd w:val="clear" w:color="000000" w:fill="FFFFFF"/>
            <w:noWrap w:val="0"/>
            <w:vAlign w:val="center"/>
          </w:tcPr>
          <w:p w14:paraId="131DBDF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成本节约率=[（计划成本-实际成本）/计划成本]×100%。</w:t>
            </w:r>
          </w:p>
        </w:tc>
        <w:tc>
          <w:tcPr>
            <w:tcW w:w="1010"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73D9F87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9.4</w:t>
            </w:r>
          </w:p>
        </w:tc>
      </w:tr>
      <w:tr w14:paraId="4943842C">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CA4836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nil"/>
              <w:bottom w:val="single" w:color="auto" w:sz="4" w:space="0"/>
              <w:right w:val="single" w:color="auto" w:sz="4" w:space="0"/>
            </w:tcBorders>
            <w:shd w:val="clear" w:color="auto" w:fill="auto"/>
            <w:noWrap w:val="0"/>
            <w:vAlign w:val="center"/>
          </w:tcPr>
          <w:p w14:paraId="0D070AC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9FE79A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nil"/>
            </w:tcBorders>
            <w:shd w:val="clear" w:color="auto" w:fill="auto"/>
            <w:noWrap w:val="0"/>
            <w:vAlign w:val="center"/>
          </w:tcPr>
          <w:p w14:paraId="4C353734">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830E6F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nil"/>
              <w:right w:val="nil"/>
            </w:tcBorders>
            <w:shd w:val="clear" w:color="000000" w:fill="FFFFFF"/>
            <w:noWrap w:val="0"/>
            <w:vAlign w:val="center"/>
          </w:tcPr>
          <w:p w14:paraId="0162D98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实际成本：项目实施单位如期、保质、保量完成既定工作目标实际所耗费的支出。</w:t>
            </w:r>
          </w:p>
        </w:tc>
        <w:tc>
          <w:tcPr>
            <w:tcW w:w="1010" w:type="dxa"/>
            <w:vMerge w:val="continue"/>
            <w:tcBorders>
              <w:top w:val="nil"/>
              <w:left w:val="single" w:color="auto" w:sz="4" w:space="0"/>
              <w:bottom w:val="single" w:color="auto" w:sz="4" w:space="0"/>
              <w:right w:val="single" w:color="auto" w:sz="4" w:space="0"/>
            </w:tcBorders>
            <w:noWrap w:val="0"/>
            <w:vAlign w:val="center"/>
          </w:tcPr>
          <w:p w14:paraId="61884D57">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1C7641A1">
        <w:tblPrEx>
          <w:tblCellMar>
            <w:top w:w="0" w:type="dxa"/>
            <w:left w:w="108" w:type="dxa"/>
            <w:bottom w:w="0" w:type="dxa"/>
            <w:right w:w="108" w:type="dxa"/>
          </w:tblCellMar>
        </w:tblPrEx>
        <w:trPr>
          <w:trHeight w:val="468" w:hRule="atLeast"/>
        </w:trPr>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7E1571">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nil"/>
              <w:bottom w:val="single" w:color="auto" w:sz="4" w:space="0"/>
              <w:right w:val="single" w:color="auto" w:sz="4" w:space="0"/>
            </w:tcBorders>
            <w:shd w:val="clear" w:color="auto" w:fill="auto"/>
            <w:noWrap w:val="0"/>
            <w:vAlign w:val="center"/>
          </w:tcPr>
          <w:p w14:paraId="71B5A7C7">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AC993D">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nil"/>
            </w:tcBorders>
            <w:shd w:val="clear" w:color="auto" w:fill="auto"/>
            <w:noWrap w:val="0"/>
            <w:vAlign w:val="center"/>
          </w:tcPr>
          <w:p w14:paraId="09F0A203">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c>
          <w:tcPr>
            <w:tcW w:w="35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8AD2034">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6089" w:type="dxa"/>
            <w:tcBorders>
              <w:top w:val="nil"/>
              <w:left w:val="nil"/>
              <w:bottom w:val="nil"/>
              <w:right w:val="nil"/>
            </w:tcBorders>
            <w:shd w:val="clear" w:color="000000" w:fill="FFFFFF"/>
            <w:noWrap w:val="0"/>
            <w:vAlign w:val="center"/>
          </w:tcPr>
          <w:p w14:paraId="5FC52546">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计划成本：项目实施单位为完成工作目标计划安排的支出，一般以项目预算为参考。</w:t>
            </w:r>
          </w:p>
        </w:tc>
        <w:tc>
          <w:tcPr>
            <w:tcW w:w="1010" w:type="dxa"/>
            <w:vMerge w:val="continue"/>
            <w:tcBorders>
              <w:top w:val="nil"/>
              <w:left w:val="single" w:color="auto" w:sz="4" w:space="0"/>
              <w:bottom w:val="single" w:color="auto" w:sz="4" w:space="0"/>
              <w:right w:val="single" w:color="auto" w:sz="4" w:space="0"/>
            </w:tcBorders>
            <w:noWrap w:val="0"/>
            <w:vAlign w:val="center"/>
          </w:tcPr>
          <w:p w14:paraId="32CE06B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p>
        </w:tc>
      </w:tr>
      <w:tr w14:paraId="79F9F619">
        <w:tblPrEx>
          <w:tblCellMar>
            <w:top w:w="0" w:type="dxa"/>
            <w:left w:w="108" w:type="dxa"/>
            <w:bottom w:w="0" w:type="dxa"/>
            <w:right w:w="108" w:type="dxa"/>
          </w:tblCellMar>
        </w:tblPrEx>
        <w:trPr>
          <w:trHeight w:val="633" w:hRule="atLeast"/>
        </w:trPr>
        <w:tc>
          <w:tcPr>
            <w:tcW w:w="807" w:type="dxa"/>
            <w:vMerge w:val="restart"/>
            <w:tcBorders>
              <w:top w:val="nil"/>
              <w:left w:val="single" w:color="000000" w:sz="8" w:space="0"/>
              <w:bottom w:val="nil"/>
              <w:right w:val="nil"/>
            </w:tcBorders>
            <w:shd w:val="clear" w:color="000000" w:fill="FFFFFF"/>
            <w:noWrap w:val="0"/>
            <w:vAlign w:val="center"/>
          </w:tcPr>
          <w:p w14:paraId="4888BEB5">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lang w:val="en-US" w:eastAsia="zh-CN"/>
              </w:rPr>
              <w:t>项目</w:t>
            </w:r>
            <w:r>
              <w:rPr>
                <w:rFonts w:hint="eastAsia" w:ascii="宋体" w:hAnsi="宋体" w:cs="宋体"/>
                <w:color w:val="000000"/>
                <w:kern w:val="0"/>
                <w:sz w:val="22"/>
              </w:rPr>
              <w:t>效益</w:t>
            </w:r>
          </w:p>
          <w:p w14:paraId="2049F43B">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30分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784" w:type="dxa"/>
            <w:vMerge w:val="restart"/>
            <w:tcBorders>
              <w:top w:val="nil"/>
              <w:left w:val="single" w:color="auto" w:sz="4" w:space="0"/>
              <w:bottom w:val="single" w:color="auto" w:sz="4" w:space="0"/>
              <w:right w:val="single" w:color="auto" w:sz="4" w:space="0"/>
            </w:tcBorders>
            <w:shd w:val="clear" w:color="000000" w:fill="FFFFFF"/>
            <w:noWrap w:val="0"/>
            <w:vAlign w:val="center"/>
          </w:tcPr>
          <w:p w14:paraId="0D1223CA">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rPr>
            </w:pPr>
            <w:r>
              <w:rPr>
                <w:rFonts w:hint="eastAsia" w:ascii="宋体" w:hAnsi="宋体" w:cs="宋体"/>
                <w:color w:val="000000"/>
                <w:kern w:val="0"/>
                <w:sz w:val="22"/>
              </w:rPr>
              <w:t>项目效益</w:t>
            </w:r>
          </w:p>
          <w:p w14:paraId="0332527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30分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807" w:type="dxa"/>
            <w:tcBorders>
              <w:top w:val="nil"/>
              <w:left w:val="nil"/>
              <w:bottom w:val="single" w:color="auto" w:sz="4" w:space="0"/>
              <w:right w:val="single" w:color="auto" w:sz="4" w:space="0"/>
            </w:tcBorders>
            <w:shd w:val="clear" w:color="000000" w:fill="FFFFFF"/>
            <w:noWrap w:val="0"/>
            <w:vAlign w:val="center"/>
          </w:tcPr>
          <w:p w14:paraId="460522A0">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社会</w:t>
            </w:r>
            <w:r>
              <w:rPr>
                <w:rFonts w:hint="eastAsia" w:ascii="宋体" w:hAnsi="宋体" w:cs="宋体"/>
                <w:color w:val="000000"/>
                <w:kern w:val="0"/>
                <w:sz w:val="22"/>
              </w:rPr>
              <w:t>效益</w:t>
            </w:r>
          </w:p>
        </w:tc>
        <w:tc>
          <w:tcPr>
            <w:tcW w:w="784" w:type="dxa"/>
            <w:tcBorders>
              <w:top w:val="nil"/>
              <w:left w:val="nil"/>
              <w:bottom w:val="single" w:color="auto" w:sz="4" w:space="0"/>
              <w:right w:val="single" w:color="auto" w:sz="4" w:space="0"/>
            </w:tcBorders>
            <w:shd w:val="clear" w:color="000000" w:fill="FFFFFF"/>
            <w:noWrap w:val="0"/>
            <w:vAlign w:val="center"/>
          </w:tcPr>
          <w:p w14:paraId="3467DD37">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3594" w:type="dxa"/>
            <w:tcBorders>
              <w:top w:val="nil"/>
              <w:left w:val="nil"/>
              <w:bottom w:val="single" w:color="auto" w:sz="4" w:space="0"/>
              <w:right w:val="single" w:color="auto" w:sz="4" w:space="0"/>
            </w:tcBorders>
            <w:shd w:val="clear" w:color="000000" w:fill="FFFFFF"/>
            <w:noWrap w:val="0"/>
            <w:vAlign w:val="center"/>
          </w:tcPr>
          <w:p w14:paraId="40618D2A">
            <w:pPr>
              <w:keepNext w:val="0"/>
              <w:keepLines w:val="0"/>
              <w:pageBreakBefore w:val="0"/>
              <w:widowControl w:val="0"/>
              <w:kinsoku/>
              <w:wordWrap/>
              <w:overflowPunct/>
              <w:topLinePunct w:val="0"/>
              <w:autoSpaceDE/>
              <w:autoSpaceDN/>
              <w:bidi w:val="0"/>
              <w:spacing w:line="560" w:lineRule="exact"/>
              <w:jc w:val="left"/>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展示首都投资促进形象，推动北京经济发展</w:t>
            </w:r>
          </w:p>
        </w:tc>
        <w:tc>
          <w:tcPr>
            <w:tcW w:w="6089" w:type="dxa"/>
            <w:vMerge w:val="restart"/>
            <w:tcBorders>
              <w:top w:val="single" w:color="auto" w:sz="4" w:space="0"/>
              <w:left w:val="nil"/>
              <w:right w:val="single" w:color="auto" w:sz="4" w:space="0"/>
            </w:tcBorders>
            <w:shd w:val="clear" w:color="000000" w:fill="FFFFFF"/>
            <w:noWrap w:val="0"/>
            <w:vAlign w:val="center"/>
          </w:tcPr>
          <w:p w14:paraId="42038933">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r>
              <w:rPr>
                <w:rFonts w:hint="eastAsia" w:ascii="宋体" w:hAnsi="宋体" w:cs="宋体"/>
                <w:color w:val="000000"/>
                <w:kern w:val="0"/>
                <w:sz w:val="22"/>
              </w:rPr>
              <w:t>项目实施所产生的社会效益、经济效益、生态效益、可持续影响等。可根据项目实际情况有选择地设置和细化。</w:t>
            </w:r>
          </w:p>
        </w:tc>
        <w:tc>
          <w:tcPr>
            <w:tcW w:w="1010" w:type="dxa"/>
            <w:tcBorders>
              <w:top w:val="nil"/>
              <w:left w:val="nil"/>
              <w:bottom w:val="single" w:color="auto" w:sz="4" w:space="0"/>
              <w:right w:val="single" w:color="auto" w:sz="4" w:space="0"/>
            </w:tcBorders>
            <w:shd w:val="clear" w:color="000000" w:fill="FFFFFF"/>
            <w:noWrap w:val="0"/>
            <w:vAlign w:val="center"/>
          </w:tcPr>
          <w:p w14:paraId="13E99C26">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8.4</w:t>
            </w:r>
          </w:p>
        </w:tc>
      </w:tr>
      <w:tr w14:paraId="4CFCE4BD">
        <w:tblPrEx>
          <w:tblCellMar>
            <w:top w:w="0" w:type="dxa"/>
            <w:left w:w="108" w:type="dxa"/>
            <w:bottom w:w="0" w:type="dxa"/>
            <w:right w:w="108" w:type="dxa"/>
          </w:tblCellMar>
        </w:tblPrEx>
        <w:trPr>
          <w:trHeight w:val="698" w:hRule="atLeast"/>
        </w:trPr>
        <w:tc>
          <w:tcPr>
            <w:tcW w:w="807" w:type="dxa"/>
            <w:vMerge w:val="continue"/>
            <w:tcBorders>
              <w:left w:val="single" w:color="000000" w:sz="8" w:space="0"/>
              <w:right w:val="nil"/>
            </w:tcBorders>
            <w:shd w:val="clear" w:color="000000" w:fill="FFFFFF"/>
            <w:noWrap w:val="0"/>
            <w:vAlign w:val="center"/>
          </w:tcPr>
          <w:p w14:paraId="253A3851">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lang w:eastAsia="zh-CN"/>
              </w:rPr>
            </w:pPr>
          </w:p>
        </w:tc>
        <w:tc>
          <w:tcPr>
            <w:tcW w:w="784" w:type="dxa"/>
            <w:vMerge w:val="continue"/>
            <w:tcBorders>
              <w:left w:val="single" w:color="auto" w:sz="4" w:space="0"/>
              <w:right w:val="single" w:color="auto" w:sz="4" w:space="0"/>
            </w:tcBorders>
            <w:shd w:val="clear" w:color="000000" w:fill="FFFFFF"/>
            <w:noWrap w:val="0"/>
            <w:vAlign w:val="center"/>
          </w:tcPr>
          <w:p w14:paraId="78F18D1A">
            <w:pPr>
              <w:keepNext w:val="0"/>
              <w:keepLines w:val="0"/>
              <w:pageBreakBefore w:val="0"/>
              <w:widowControl w:val="0"/>
              <w:kinsoku/>
              <w:wordWrap/>
              <w:overflowPunct/>
              <w:topLinePunct w:val="0"/>
              <w:autoSpaceDE/>
              <w:autoSpaceDN/>
              <w:bidi w:val="0"/>
              <w:spacing w:line="560" w:lineRule="exact"/>
              <w:jc w:val="center"/>
              <w:rPr>
                <w:rFonts w:hint="eastAsia" w:ascii="宋体" w:hAnsi="宋体" w:cs="宋体"/>
                <w:color w:val="000000"/>
                <w:kern w:val="0"/>
                <w:sz w:val="22"/>
                <w:lang w:eastAsia="zh-CN"/>
              </w:rPr>
            </w:pPr>
          </w:p>
        </w:tc>
        <w:tc>
          <w:tcPr>
            <w:tcW w:w="807" w:type="dxa"/>
            <w:tcBorders>
              <w:top w:val="nil"/>
              <w:left w:val="nil"/>
              <w:bottom w:val="single" w:color="auto" w:sz="4" w:space="0"/>
              <w:right w:val="single" w:color="auto" w:sz="4" w:space="0"/>
            </w:tcBorders>
            <w:shd w:val="clear" w:color="000000" w:fill="FFFFFF"/>
            <w:noWrap w:val="0"/>
            <w:vAlign w:val="center"/>
          </w:tcPr>
          <w:p w14:paraId="0D917906">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可持续影响</w:t>
            </w:r>
          </w:p>
        </w:tc>
        <w:tc>
          <w:tcPr>
            <w:tcW w:w="784" w:type="dxa"/>
            <w:tcBorders>
              <w:top w:val="nil"/>
              <w:left w:val="nil"/>
              <w:bottom w:val="single" w:color="auto" w:sz="4" w:space="0"/>
              <w:right w:val="single" w:color="auto" w:sz="4" w:space="0"/>
            </w:tcBorders>
            <w:shd w:val="clear" w:color="000000" w:fill="FFFFFF"/>
            <w:noWrap w:val="0"/>
            <w:vAlign w:val="center"/>
          </w:tcPr>
          <w:p w14:paraId="46233B63">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3594" w:type="dxa"/>
            <w:tcBorders>
              <w:top w:val="nil"/>
              <w:left w:val="nil"/>
              <w:bottom w:val="single" w:color="auto" w:sz="4" w:space="0"/>
              <w:right w:val="single" w:color="auto" w:sz="4" w:space="0"/>
            </w:tcBorders>
            <w:shd w:val="clear" w:color="000000" w:fill="FFFFFF"/>
            <w:noWrap w:val="0"/>
            <w:vAlign w:val="center"/>
          </w:tcPr>
          <w:p w14:paraId="5F32B23C">
            <w:pPr>
              <w:keepNext w:val="0"/>
              <w:keepLines w:val="0"/>
              <w:pageBreakBefore w:val="0"/>
              <w:widowControl w:val="0"/>
              <w:kinsoku/>
              <w:wordWrap/>
              <w:overflowPunct/>
              <w:topLinePunct w:val="0"/>
              <w:autoSpaceDE/>
              <w:autoSpaceDN/>
              <w:bidi w:val="0"/>
              <w:spacing w:line="560" w:lineRule="exact"/>
              <w:jc w:val="left"/>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营造良好的营商环境；强化首都投资促进系统的工作统筹</w:t>
            </w:r>
          </w:p>
        </w:tc>
        <w:tc>
          <w:tcPr>
            <w:tcW w:w="6089" w:type="dxa"/>
            <w:vMerge w:val="continue"/>
            <w:tcBorders>
              <w:left w:val="nil"/>
              <w:bottom w:val="single" w:color="auto" w:sz="4" w:space="0"/>
              <w:right w:val="single" w:color="auto" w:sz="4" w:space="0"/>
            </w:tcBorders>
            <w:shd w:val="clear" w:color="000000" w:fill="FFFFFF"/>
            <w:noWrap w:val="0"/>
            <w:vAlign w:val="center"/>
          </w:tcPr>
          <w:p w14:paraId="5A884608">
            <w:pPr>
              <w:keepNext w:val="0"/>
              <w:keepLines w:val="0"/>
              <w:pageBreakBefore w:val="0"/>
              <w:widowControl w:val="0"/>
              <w:kinsoku/>
              <w:wordWrap/>
              <w:overflowPunct/>
              <w:topLinePunct w:val="0"/>
              <w:autoSpaceDE/>
              <w:autoSpaceDN/>
              <w:bidi w:val="0"/>
              <w:spacing w:line="560" w:lineRule="exact"/>
              <w:jc w:val="left"/>
              <w:rPr>
                <w:rFonts w:hint="eastAsia" w:ascii="宋体" w:hAnsi="宋体" w:cs="宋体"/>
                <w:color w:val="000000"/>
                <w:kern w:val="0"/>
                <w:sz w:val="22"/>
              </w:rPr>
            </w:pPr>
          </w:p>
        </w:tc>
        <w:tc>
          <w:tcPr>
            <w:tcW w:w="1010" w:type="dxa"/>
            <w:tcBorders>
              <w:top w:val="nil"/>
              <w:left w:val="nil"/>
              <w:bottom w:val="single" w:color="auto" w:sz="4" w:space="0"/>
              <w:right w:val="single" w:color="auto" w:sz="4" w:space="0"/>
            </w:tcBorders>
            <w:shd w:val="clear" w:color="000000" w:fill="FFFFFF"/>
            <w:noWrap w:val="0"/>
            <w:vAlign w:val="center"/>
          </w:tcPr>
          <w:p w14:paraId="031F3A8A">
            <w:pPr>
              <w:keepNext w:val="0"/>
              <w:keepLines w:val="0"/>
              <w:pageBreakBefore w:val="0"/>
              <w:widowControl w:val="0"/>
              <w:kinsoku/>
              <w:wordWrap/>
              <w:overflowPunct/>
              <w:topLinePunct w:val="0"/>
              <w:autoSpaceDE/>
              <w:autoSpaceDN/>
              <w:bidi w:val="0"/>
              <w:spacing w:line="560" w:lineRule="exac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8.2</w:t>
            </w:r>
          </w:p>
        </w:tc>
      </w:tr>
      <w:tr w14:paraId="7149880B">
        <w:tblPrEx>
          <w:tblCellMar>
            <w:top w:w="0" w:type="dxa"/>
            <w:left w:w="108" w:type="dxa"/>
            <w:bottom w:w="0" w:type="dxa"/>
            <w:right w:w="108" w:type="dxa"/>
          </w:tblCellMar>
        </w:tblPrEx>
        <w:trPr>
          <w:trHeight w:val="685" w:hRule="atLeast"/>
        </w:trPr>
        <w:tc>
          <w:tcPr>
            <w:tcW w:w="807" w:type="dxa"/>
            <w:vMerge w:val="continue"/>
            <w:tcBorders>
              <w:top w:val="nil"/>
              <w:left w:val="single" w:color="000000" w:sz="8" w:space="0"/>
              <w:bottom w:val="nil"/>
              <w:right w:val="nil"/>
            </w:tcBorders>
            <w:shd w:val="clear" w:color="auto" w:fill="auto"/>
            <w:noWrap w:val="0"/>
            <w:vAlign w:val="center"/>
          </w:tcPr>
          <w:p w14:paraId="59E7759A">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78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AA5ADFE">
            <w:pPr>
              <w:keepNext w:val="0"/>
              <w:keepLines w:val="0"/>
              <w:pageBreakBefore w:val="0"/>
              <w:widowControl w:val="0"/>
              <w:kinsoku/>
              <w:wordWrap/>
              <w:overflowPunct/>
              <w:topLinePunct w:val="0"/>
              <w:autoSpaceDE/>
              <w:autoSpaceDN/>
              <w:bidi w:val="0"/>
              <w:spacing w:line="560" w:lineRule="exact"/>
              <w:jc w:val="left"/>
              <w:rPr>
                <w:rFonts w:ascii="宋体" w:hAnsi="宋体" w:cs="宋体"/>
                <w:color w:val="000000"/>
                <w:kern w:val="0"/>
                <w:sz w:val="22"/>
              </w:rPr>
            </w:pPr>
          </w:p>
        </w:tc>
        <w:tc>
          <w:tcPr>
            <w:tcW w:w="807" w:type="dxa"/>
            <w:tcBorders>
              <w:top w:val="nil"/>
              <w:left w:val="nil"/>
              <w:bottom w:val="single" w:color="auto" w:sz="4" w:space="0"/>
              <w:right w:val="single" w:color="auto" w:sz="4" w:space="0"/>
            </w:tcBorders>
            <w:shd w:val="clear" w:color="000000" w:fill="FFFFFF"/>
            <w:noWrap w:val="0"/>
            <w:vAlign w:val="center"/>
          </w:tcPr>
          <w:p w14:paraId="7B0E365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rPr>
              <w:t>满意度</w:t>
            </w:r>
          </w:p>
        </w:tc>
        <w:tc>
          <w:tcPr>
            <w:tcW w:w="784" w:type="dxa"/>
            <w:tcBorders>
              <w:top w:val="nil"/>
              <w:left w:val="nil"/>
              <w:bottom w:val="single" w:color="auto" w:sz="4" w:space="0"/>
              <w:right w:val="single" w:color="auto" w:sz="4" w:space="0"/>
            </w:tcBorders>
            <w:shd w:val="clear" w:color="000000" w:fill="FFFFFF"/>
            <w:noWrap w:val="0"/>
            <w:vAlign w:val="center"/>
          </w:tcPr>
          <w:p w14:paraId="69EC5CAD">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10</w:t>
            </w:r>
          </w:p>
        </w:tc>
        <w:tc>
          <w:tcPr>
            <w:tcW w:w="3594" w:type="dxa"/>
            <w:tcBorders>
              <w:top w:val="nil"/>
              <w:left w:val="nil"/>
              <w:bottom w:val="single" w:color="auto" w:sz="4" w:space="0"/>
              <w:right w:val="single" w:color="auto" w:sz="4" w:space="0"/>
            </w:tcBorders>
            <w:shd w:val="clear" w:color="000000" w:fill="FFFFFF"/>
            <w:noWrap w:val="0"/>
            <w:vAlign w:val="center"/>
          </w:tcPr>
          <w:p w14:paraId="77D7ECEC">
            <w:pPr>
              <w:keepNext w:val="0"/>
              <w:keepLines w:val="0"/>
              <w:pageBreakBefore w:val="0"/>
              <w:widowControl w:val="0"/>
              <w:kinsoku/>
              <w:wordWrap/>
              <w:overflowPunct/>
              <w:topLinePunct w:val="0"/>
              <w:autoSpaceDE/>
              <w:autoSpaceDN/>
              <w:bidi w:val="0"/>
              <w:spacing w:line="560" w:lineRule="exact"/>
              <w:rPr>
                <w:rFonts w:hint="default" w:ascii="宋体" w:hAnsi="宋体" w:eastAsia="宋体" w:cs="宋体"/>
                <w:color w:val="000000"/>
                <w:kern w:val="0"/>
                <w:sz w:val="22"/>
                <w:lang w:val="en-US" w:eastAsia="zh-CN"/>
              </w:rPr>
            </w:pPr>
            <w:r>
              <w:rPr>
                <w:rFonts w:hint="eastAsia" w:ascii="宋体" w:hAnsi="宋体" w:cs="宋体"/>
                <w:color w:val="000000"/>
                <w:kern w:val="0"/>
                <w:sz w:val="22"/>
              </w:rPr>
              <w:t>受益投资人、企业满意</w:t>
            </w:r>
            <w:r>
              <w:rPr>
                <w:rFonts w:hint="eastAsia" w:ascii="宋体" w:hAnsi="宋体" w:cs="宋体"/>
                <w:color w:val="000000"/>
                <w:kern w:val="0"/>
                <w:sz w:val="22"/>
                <w:lang w:val="en-US" w:eastAsia="zh-CN"/>
              </w:rPr>
              <w:t>及市领导满意</w:t>
            </w:r>
          </w:p>
        </w:tc>
        <w:tc>
          <w:tcPr>
            <w:tcW w:w="6089" w:type="dxa"/>
            <w:tcBorders>
              <w:top w:val="nil"/>
              <w:left w:val="nil"/>
              <w:bottom w:val="single" w:color="auto" w:sz="4" w:space="0"/>
              <w:right w:val="single" w:color="auto" w:sz="4" w:space="0"/>
            </w:tcBorders>
            <w:shd w:val="clear" w:color="000000" w:fill="FFFFFF"/>
            <w:noWrap w:val="0"/>
            <w:vAlign w:val="center"/>
          </w:tcPr>
          <w:p w14:paraId="50948400">
            <w:pPr>
              <w:keepNext w:val="0"/>
              <w:keepLines w:val="0"/>
              <w:pageBreakBefore w:val="0"/>
              <w:widowControl w:val="0"/>
              <w:kinsoku/>
              <w:wordWrap/>
              <w:overflowPunct/>
              <w:topLinePunct w:val="0"/>
              <w:autoSpaceDE/>
              <w:autoSpaceDN/>
              <w:bidi w:val="0"/>
              <w:spacing w:line="560" w:lineRule="exact"/>
              <w:rPr>
                <w:rFonts w:ascii="宋体" w:hAnsi="宋体" w:cs="宋体"/>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c>
          <w:tcPr>
            <w:tcW w:w="1010" w:type="dxa"/>
            <w:tcBorders>
              <w:top w:val="nil"/>
              <w:left w:val="nil"/>
              <w:bottom w:val="single" w:color="auto" w:sz="4" w:space="0"/>
              <w:right w:val="single" w:color="auto" w:sz="4" w:space="0"/>
            </w:tcBorders>
            <w:shd w:val="clear" w:color="000000" w:fill="FFFFFF"/>
            <w:noWrap w:val="0"/>
            <w:vAlign w:val="center"/>
          </w:tcPr>
          <w:p w14:paraId="2E9BD175">
            <w:pPr>
              <w:keepNext w:val="0"/>
              <w:keepLines w:val="0"/>
              <w:pageBreakBefore w:val="0"/>
              <w:widowControl w:val="0"/>
              <w:kinsoku/>
              <w:wordWrap/>
              <w:overflowPunct/>
              <w:topLinePunct w:val="0"/>
              <w:autoSpaceDE/>
              <w:autoSpaceDN/>
              <w:bidi w:val="0"/>
              <w:spacing w:line="560" w:lineRule="exact"/>
              <w:jc w:val="center"/>
              <w:rPr>
                <w:rFonts w:ascii="宋体" w:hAnsi="宋体" w:cs="宋体"/>
                <w:color w:val="000000"/>
                <w:kern w:val="0"/>
                <w:sz w:val="22"/>
              </w:rPr>
            </w:pPr>
            <w:r>
              <w:rPr>
                <w:rFonts w:hint="eastAsia" w:ascii="宋体" w:hAnsi="宋体" w:cs="宋体"/>
                <w:color w:val="000000"/>
                <w:kern w:val="0"/>
                <w:sz w:val="22"/>
                <w:lang w:val="en-US" w:eastAsia="zh-CN"/>
              </w:rPr>
              <w:t>9.2</w:t>
            </w:r>
          </w:p>
        </w:tc>
      </w:tr>
      <w:tr w14:paraId="609C6874">
        <w:tblPrEx>
          <w:tblCellMar>
            <w:top w:w="0" w:type="dxa"/>
            <w:left w:w="108" w:type="dxa"/>
            <w:bottom w:w="0" w:type="dxa"/>
            <w:right w:w="108" w:type="dxa"/>
          </w:tblCellMar>
        </w:tblPrEx>
        <w:trPr>
          <w:trHeight w:val="662" w:hRule="atLeast"/>
        </w:trPr>
        <w:tc>
          <w:tcPr>
            <w:tcW w:w="2398"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B218D9C">
            <w:pPr>
              <w:keepNext w:val="0"/>
              <w:keepLines w:val="0"/>
              <w:pageBreakBefore w:val="0"/>
              <w:widowControl w:val="0"/>
              <w:kinsoku/>
              <w:wordWrap/>
              <w:overflowPunct/>
              <w:topLinePunct w:val="0"/>
              <w:autoSpaceDE/>
              <w:autoSpaceDN/>
              <w:bidi w:val="0"/>
              <w:spacing w:line="560" w:lineRule="exact"/>
              <w:jc w:val="center"/>
              <w:rPr>
                <w:rFonts w:ascii="等线" w:hAnsi="等线" w:eastAsia="等线" w:cs="宋体"/>
                <w:color w:val="000000"/>
                <w:kern w:val="0"/>
                <w:sz w:val="22"/>
              </w:rPr>
            </w:pPr>
            <w:r>
              <w:rPr>
                <w:rFonts w:hint="eastAsia" w:ascii="宋体" w:hAnsi="宋体" w:cs="宋体"/>
                <w:color w:val="000000"/>
                <w:kern w:val="0"/>
                <w:sz w:val="22"/>
              </w:rPr>
              <w:t>合计</w:t>
            </w:r>
          </w:p>
        </w:tc>
        <w:tc>
          <w:tcPr>
            <w:tcW w:w="784" w:type="dxa"/>
            <w:tcBorders>
              <w:top w:val="nil"/>
              <w:left w:val="nil"/>
              <w:bottom w:val="single" w:color="auto" w:sz="4" w:space="0"/>
              <w:right w:val="single" w:color="auto" w:sz="4" w:space="0"/>
            </w:tcBorders>
            <w:noWrap/>
            <w:vAlign w:val="center"/>
          </w:tcPr>
          <w:p w14:paraId="5FCB7093">
            <w:pPr>
              <w:keepNext w:val="0"/>
              <w:keepLines w:val="0"/>
              <w:pageBreakBefore w:val="0"/>
              <w:widowControl w:val="0"/>
              <w:kinsoku/>
              <w:wordWrap/>
              <w:overflowPunct/>
              <w:topLinePunct w:val="0"/>
              <w:autoSpaceDE/>
              <w:autoSpaceDN/>
              <w:bidi w:val="0"/>
              <w:spacing w:line="560" w:lineRule="exact"/>
              <w:jc w:val="center"/>
              <w:rPr>
                <w:rFonts w:ascii="等线" w:hAnsi="等线" w:eastAsia="等线" w:cs="宋体"/>
                <w:color w:val="000000"/>
                <w:kern w:val="0"/>
                <w:sz w:val="22"/>
              </w:rPr>
            </w:pPr>
            <w:r>
              <w:rPr>
                <w:rFonts w:hint="eastAsia" w:ascii="等线" w:hAnsi="等线" w:eastAsia="等线" w:cs="宋体"/>
                <w:color w:val="000000"/>
                <w:kern w:val="0"/>
                <w:sz w:val="22"/>
              </w:rPr>
              <w:t>100</w:t>
            </w:r>
          </w:p>
        </w:tc>
        <w:tc>
          <w:tcPr>
            <w:tcW w:w="9683" w:type="dxa"/>
            <w:gridSpan w:val="2"/>
            <w:tcBorders>
              <w:top w:val="single" w:color="auto" w:sz="4" w:space="0"/>
              <w:left w:val="nil"/>
              <w:bottom w:val="single" w:color="auto" w:sz="4" w:space="0"/>
              <w:right w:val="single" w:color="000000" w:sz="4" w:space="0"/>
            </w:tcBorders>
            <w:noWrap/>
            <w:vAlign w:val="center"/>
          </w:tcPr>
          <w:p w14:paraId="67346DE3">
            <w:pPr>
              <w:keepNext w:val="0"/>
              <w:keepLines w:val="0"/>
              <w:pageBreakBefore w:val="0"/>
              <w:widowControl w:val="0"/>
              <w:kinsoku/>
              <w:wordWrap/>
              <w:overflowPunct/>
              <w:topLinePunct w:val="0"/>
              <w:autoSpaceDE/>
              <w:autoSpaceDN/>
              <w:bidi w:val="0"/>
              <w:spacing w:line="560" w:lineRule="exact"/>
              <w:jc w:val="center"/>
              <w:rPr>
                <w:rFonts w:ascii="等线" w:hAnsi="等线" w:eastAsia="等线" w:cs="宋体"/>
                <w:color w:val="000000"/>
                <w:kern w:val="0"/>
                <w:sz w:val="22"/>
              </w:rPr>
            </w:pPr>
          </w:p>
        </w:tc>
        <w:tc>
          <w:tcPr>
            <w:tcW w:w="1010" w:type="dxa"/>
            <w:tcBorders>
              <w:top w:val="nil"/>
              <w:left w:val="nil"/>
              <w:bottom w:val="single" w:color="auto" w:sz="4" w:space="0"/>
              <w:right w:val="single" w:color="auto" w:sz="4" w:space="0"/>
            </w:tcBorders>
            <w:noWrap/>
            <w:vAlign w:val="center"/>
          </w:tcPr>
          <w:p w14:paraId="681C378B">
            <w:pPr>
              <w:keepNext w:val="0"/>
              <w:keepLines w:val="0"/>
              <w:pageBreakBefore w:val="0"/>
              <w:widowControl w:val="0"/>
              <w:kinsoku/>
              <w:wordWrap/>
              <w:overflowPunct/>
              <w:topLinePunct w:val="0"/>
              <w:autoSpaceDE/>
              <w:autoSpaceDN/>
              <w:bidi w:val="0"/>
              <w:spacing w:line="560" w:lineRule="exact"/>
              <w:jc w:val="center"/>
              <w:rPr>
                <w:rFonts w:hint="default" w:ascii="等线" w:hAnsi="等线" w:eastAsia="等线" w:cs="宋体"/>
                <w:color w:val="000000"/>
                <w:kern w:val="0"/>
                <w:sz w:val="22"/>
                <w:lang w:val="en-US" w:eastAsia="zh-CN"/>
              </w:rPr>
            </w:pPr>
            <w:r>
              <w:rPr>
                <w:rFonts w:hint="eastAsia" w:ascii="等线" w:hAnsi="等线" w:eastAsia="等线" w:cs="宋体"/>
                <w:color w:val="000000"/>
                <w:kern w:val="0"/>
                <w:sz w:val="22"/>
                <w:lang w:val="en-US" w:eastAsia="zh-CN"/>
              </w:rPr>
              <w:t>88.5</w:t>
            </w:r>
          </w:p>
        </w:tc>
      </w:tr>
    </w:tbl>
    <w:p w14:paraId="43C398D4">
      <w:pPr>
        <w:pStyle w:val="14"/>
        <w:keepNext w:val="0"/>
        <w:keepLines w:val="0"/>
        <w:pageBreakBefore w:val="0"/>
        <w:widowControl w:val="0"/>
        <w:kinsoku/>
        <w:wordWrap/>
        <w:overflowPunct/>
        <w:topLinePunct w:val="0"/>
        <w:autoSpaceDE/>
        <w:autoSpaceDN/>
        <w:bidi w:val="0"/>
        <w:spacing w:line="560" w:lineRule="exact"/>
        <w:rPr>
          <w:rFonts w:hint="default" w:ascii="仿宋_GB2312" w:hAnsi="仿宋_GB2312" w:eastAsia="仿宋_GB2312" w:cs="仿宋_GB2312"/>
          <w:bCs/>
          <w:kern w:val="44"/>
          <w:sz w:val="32"/>
          <w:szCs w:val="32"/>
          <w:highlight w:val="yellow"/>
          <w:lang w:val="en-US" w:eastAsia="zh-CN"/>
        </w:rPr>
        <w:sectPr>
          <w:pgSz w:w="16838" w:h="11906" w:orient="landscape"/>
          <w:pgMar w:top="1800" w:right="1440" w:bottom="1800" w:left="1440" w:header="851" w:footer="992" w:gutter="0"/>
          <w:pgNumType w:fmt="decimal"/>
          <w:cols w:space="425" w:num="1"/>
          <w:docGrid w:type="lines" w:linePitch="312" w:charSpace="0"/>
        </w:sectPr>
      </w:pPr>
    </w:p>
    <w:p w14:paraId="2530C0AE">
      <w:pPr>
        <w:pStyle w:val="14"/>
        <w:keepNext w:val="0"/>
        <w:keepLines w:val="0"/>
        <w:pageBreakBefore w:val="0"/>
        <w:widowControl w:val="0"/>
        <w:kinsoku/>
        <w:wordWrap/>
        <w:overflowPunct/>
        <w:topLinePunct w:val="0"/>
        <w:autoSpaceDE/>
        <w:autoSpaceDN/>
        <w:bidi w:val="0"/>
        <w:spacing w:line="560" w:lineRule="exact"/>
        <w:rPr>
          <w:rFonts w:hint="eastAsia" w:ascii="仿宋_GB2312" w:hAnsi="仿宋_GB2312" w:eastAsia="仿宋_GB2312" w:cs="仿宋_GB2312"/>
          <w:bCs/>
          <w:color w:val="auto"/>
          <w:kern w:val="44"/>
          <w:sz w:val="32"/>
          <w:szCs w:val="32"/>
          <w:lang w:val="en-US" w:eastAsia="zh-CN"/>
        </w:rPr>
      </w:pPr>
      <w:r>
        <w:rPr>
          <w:rFonts w:hint="eastAsia" w:ascii="仿宋_GB2312" w:hAnsi="仿宋_GB2312" w:eastAsia="仿宋_GB2312" w:cs="仿宋_GB2312"/>
          <w:bCs/>
          <w:color w:val="auto"/>
          <w:kern w:val="44"/>
          <w:sz w:val="32"/>
          <w:szCs w:val="32"/>
          <w:lang w:val="en-US" w:eastAsia="zh-CN"/>
        </w:rPr>
        <w:t xml:space="preserve">附件 </w:t>
      </w:r>
      <w:r>
        <w:rPr>
          <w:rFonts w:hint="default" w:ascii="仿宋_GB2312" w:hAnsi="仿宋_GB2312" w:eastAsia="仿宋_GB2312" w:cs="仿宋_GB2312"/>
          <w:bCs/>
          <w:color w:val="auto"/>
          <w:kern w:val="44"/>
          <w:sz w:val="32"/>
          <w:szCs w:val="32"/>
          <w:lang w:val="en-US" w:eastAsia="zh-CN"/>
        </w:rPr>
        <w:t>2</w:t>
      </w:r>
      <w:r>
        <w:rPr>
          <w:rFonts w:hint="eastAsia" w:ascii="仿宋_GB2312" w:hAnsi="仿宋_GB2312" w:eastAsia="仿宋_GB2312" w:cs="仿宋_GB2312"/>
          <w:bCs/>
          <w:color w:val="auto"/>
          <w:kern w:val="44"/>
          <w:sz w:val="32"/>
          <w:szCs w:val="32"/>
          <w:lang w:val="en-US" w:eastAsia="zh-CN"/>
        </w:rPr>
        <w:t>：专家及评价工作组情况表</w:t>
      </w:r>
    </w:p>
    <w:p w14:paraId="2A1C775F">
      <w:pPr>
        <w:spacing w:line="560" w:lineRule="exact"/>
        <w:rPr>
          <w:rFonts w:hint="default" w:ascii="仿宋_GB2312" w:hAnsi="仿宋_GB2312" w:eastAsia="仿宋_GB2312" w:cs="仿宋_GB2312"/>
          <w:bCs/>
          <w:color w:val="auto"/>
          <w:kern w:val="44"/>
          <w:sz w:val="32"/>
          <w:szCs w:val="32"/>
          <w:lang w:val="en-US" w:eastAsia="zh-CN"/>
        </w:rPr>
      </w:pPr>
    </w:p>
    <w:p w14:paraId="1A229A18">
      <w:pPr>
        <w:adjustRightInd w:val="0"/>
        <w:snapToGrid w:val="0"/>
        <w:spacing w:line="240" w:lineRule="auto"/>
        <w:rPr>
          <w:rFonts w:hint="default" w:ascii="仿宋_GB2312" w:hAnsi="仿宋_GB2312" w:eastAsia="仿宋_GB2312" w:cs="仿宋_GB2312"/>
          <w:bCs/>
          <w:color w:val="auto"/>
          <w:kern w:val="44"/>
          <w:sz w:val="32"/>
          <w:szCs w:val="32"/>
          <w:lang w:val="en-US" w:eastAsia="zh-CN"/>
        </w:rPr>
      </w:pPr>
      <w:r>
        <w:drawing>
          <wp:inline distT="0" distB="0" distL="114300" distR="114300">
            <wp:extent cx="5175250" cy="6705600"/>
            <wp:effectExtent l="0" t="0" r="635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5175250" cy="6705600"/>
                    </a:xfrm>
                    <a:prstGeom prst="rect">
                      <a:avLst/>
                    </a:prstGeom>
                    <a:noFill/>
                    <a:ln>
                      <a:noFill/>
                    </a:ln>
                  </pic:spPr>
                </pic:pic>
              </a:graphicData>
            </a:graphic>
          </wp:inline>
        </w:drawing>
      </w:r>
      <w:r>
        <w:rPr>
          <w:rFonts w:hint="default" w:ascii="仿宋_GB2312" w:hAnsi="仿宋_GB2312" w:eastAsia="仿宋_GB2312" w:cs="仿宋_GB2312"/>
          <w:bCs/>
          <w:color w:val="auto"/>
          <w:kern w:val="44"/>
          <w:sz w:val="32"/>
          <w:szCs w:val="32"/>
          <w:lang w:val="en-US" w:eastAsia="zh-CN"/>
        </w:rPr>
        <w:br w:type="page"/>
      </w:r>
    </w:p>
    <w:p w14:paraId="2A844CCE">
      <w:pPr>
        <w:pStyle w:val="1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Cs/>
          <w:color w:val="auto"/>
          <w:kern w:val="44"/>
          <w:sz w:val="32"/>
          <w:szCs w:val="32"/>
        </w:rPr>
      </w:pPr>
      <w:r>
        <w:rPr>
          <w:rFonts w:hint="eastAsia" w:ascii="仿宋_GB2312" w:hAnsi="仿宋_GB2312" w:eastAsia="仿宋_GB2312" w:cs="仿宋_GB2312"/>
          <w:bCs/>
          <w:color w:val="auto"/>
          <w:kern w:val="44"/>
          <w:sz w:val="32"/>
          <w:szCs w:val="32"/>
          <w:lang w:val="en-US" w:eastAsia="zh-CN"/>
        </w:rPr>
        <w:t xml:space="preserve">附件 </w:t>
      </w:r>
      <w:r>
        <w:rPr>
          <w:rFonts w:hint="default" w:ascii="仿宋_GB2312" w:hAnsi="仿宋_GB2312" w:eastAsia="仿宋_GB2312" w:cs="仿宋_GB2312"/>
          <w:bCs/>
          <w:color w:val="auto"/>
          <w:kern w:val="44"/>
          <w:sz w:val="32"/>
          <w:szCs w:val="32"/>
          <w:lang w:val="en-US" w:eastAsia="zh-CN"/>
        </w:rPr>
        <w:t>3</w:t>
      </w:r>
      <w:r>
        <w:rPr>
          <w:rFonts w:hint="eastAsia" w:ascii="仿宋_GB2312" w:hAnsi="仿宋_GB2312" w:eastAsia="仿宋_GB2312" w:cs="仿宋_GB2312"/>
          <w:bCs/>
          <w:color w:val="auto"/>
          <w:kern w:val="44"/>
          <w:sz w:val="32"/>
          <w:szCs w:val="32"/>
          <w:lang w:val="en-US" w:eastAsia="zh-CN"/>
        </w:rPr>
        <w:t xml:space="preserve">：专家意见汇总表及评价意见 </w:t>
      </w:r>
    </w:p>
    <w:p w14:paraId="37E7EE34">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ind w:firstLine="643" w:firstLineChars="200"/>
        <w:textAlignment w:val="auto"/>
        <w:rPr>
          <w:rFonts w:ascii="黑体" w:hAnsi="黑体"/>
          <w:b/>
          <w:sz w:val="32"/>
          <w:szCs w:val="32"/>
        </w:rPr>
      </w:pPr>
      <w:r>
        <w:rPr>
          <w:rFonts w:hint="eastAsia" w:ascii="黑体" w:hAnsi="黑体"/>
          <w:b/>
          <w:sz w:val="32"/>
          <w:szCs w:val="32"/>
        </w:rPr>
        <w:t>一、专家评分汇总表</w:t>
      </w:r>
    </w:p>
    <w:tbl>
      <w:tblPr>
        <w:tblStyle w:val="15"/>
        <w:tblW w:w="915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0"/>
        <w:gridCol w:w="2008"/>
        <w:gridCol w:w="864"/>
        <w:gridCol w:w="858"/>
        <w:gridCol w:w="859"/>
        <w:gridCol w:w="950"/>
        <w:gridCol w:w="913"/>
        <w:gridCol w:w="858"/>
        <w:gridCol w:w="878"/>
      </w:tblGrid>
      <w:tr w14:paraId="061B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8" w:hRule="atLeast"/>
        </w:trPr>
        <w:tc>
          <w:tcPr>
            <w:tcW w:w="3842" w:type="dxa"/>
            <w:gridSpan w:val="3"/>
            <w:noWrap w:val="0"/>
            <w:vAlign w:val="top"/>
          </w:tcPr>
          <w:p w14:paraId="096359CD">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评价指标及分值</w:t>
            </w:r>
          </w:p>
        </w:tc>
        <w:tc>
          <w:tcPr>
            <w:tcW w:w="5316" w:type="dxa"/>
            <w:gridSpan w:val="6"/>
            <w:noWrap w:val="0"/>
            <w:vAlign w:val="center"/>
          </w:tcPr>
          <w:p w14:paraId="78A3F700">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专家评分汇总</w:t>
            </w:r>
          </w:p>
        </w:tc>
      </w:tr>
      <w:tr w14:paraId="22A9A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978" w:type="dxa"/>
            <w:gridSpan w:val="2"/>
            <w:noWrap w:val="0"/>
            <w:vAlign w:val="top"/>
          </w:tcPr>
          <w:p w14:paraId="06118DAE">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评价指标</w:t>
            </w:r>
          </w:p>
        </w:tc>
        <w:tc>
          <w:tcPr>
            <w:tcW w:w="864" w:type="dxa"/>
            <w:noWrap w:val="0"/>
            <w:vAlign w:val="center"/>
          </w:tcPr>
          <w:p w14:paraId="6C9F3E40">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分值</w:t>
            </w:r>
          </w:p>
        </w:tc>
        <w:tc>
          <w:tcPr>
            <w:tcW w:w="858" w:type="dxa"/>
            <w:noWrap w:val="0"/>
            <w:vAlign w:val="center"/>
          </w:tcPr>
          <w:p w14:paraId="5737EEA9">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专家1</w:t>
            </w:r>
          </w:p>
        </w:tc>
        <w:tc>
          <w:tcPr>
            <w:tcW w:w="859" w:type="dxa"/>
            <w:noWrap w:val="0"/>
            <w:vAlign w:val="center"/>
          </w:tcPr>
          <w:p w14:paraId="6D0C5894">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专家2</w:t>
            </w:r>
          </w:p>
        </w:tc>
        <w:tc>
          <w:tcPr>
            <w:tcW w:w="950" w:type="dxa"/>
            <w:noWrap w:val="0"/>
            <w:vAlign w:val="center"/>
          </w:tcPr>
          <w:p w14:paraId="599783E4">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专家3</w:t>
            </w:r>
          </w:p>
        </w:tc>
        <w:tc>
          <w:tcPr>
            <w:tcW w:w="913" w:type="dxa"/>
            <w:noWrap w:val="0"/>
            <w:vAlign w:val="center"/>
          </w:tcPr>
          <w:p w14:paraId="033BA447">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专家4</w:t>
            </w:r>
          </w:p>
        </w:tc>
        <w:tc>
          <w:tcPr>
            <w:tcW w:w="858" w:type="dxa"/>
            <w:noWrap w:val="0"/>
            <w:vAlign w:val="center"/>
          </w:tcPr>
          <w:p w14:paraId="4CCAC7A1">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专家5</w:t>
            </w:r>
          </w:p>
        </w:tc>
        <w:tc>
          <w:tcPr>
            <w:tcW w:w="878" w:type="dxa"/>
            <w:noWrap w:val="0"/>
            <w:vAlign w:val="center"/>
          </w:tcPr>
          <w:p w14:paraId="2794EDC2">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平均</w:t>
            </w:r>
          </w:p>
        </w:tc>
      </w:tr>
      <w:tr w14:paraId="11AF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restart"/>
            <w:noWrap w:val="0"/>
            <w:vAlign w:val="center"/>
          </w:tcPr>
          <w:p w14:paraId="3EAC6C09">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决策</w:t>
            </w:r>
          </w:p>
          <w:p w14:paraId="27618CB8">
            <w:pPr>
              <w:widowControl/>
              <w:spacing w:line="560" w:lineRule="exact"/>
              <w:jc w:val="center"/>
              <w:rPr>
                <w:rFonts w:hint="eastAsia" w:asciiTheme="majorEastAsia" w:hAnsiTheme="majorEastAsia" w:eastAsiaTheme="majorEastAsia" w:cstheme="majorEastAsia"/>
                <w:b/>
                <w:bCs/>
                <w:color w:val="000000"/>
                <w:kern w:val="0"/>
                <w:sz w:val="21"/>
                <w:szCs w:val="21"/>
                <w:lang w:eastAsia="zh-CN"/>
              </w:rPr>
            </w:pPr>
            <w:r>
              <w:rPr>
                <w:rFonts w:hint="eastAsia" w:asciiTheme="majorEastAsia" w:hAnsiTheme="majorEastAsia" w:eastAsiaTheme="majorEastAsia" w:cstheme="majorEastAsia"/>
                <w:b/>
                <w:bCs/>
                <w:color w:val="000000"/>
                <w:kern w:val="0"/>
                <w:sz w:val="21"/>
                <w:szCs w:val="21"/>
                <w:lang w:eastAsia="zh-CN"/>
              </w:rPr>
              <w:t>（</w:t>
            </w:r>
            <w:r>
              <w:rPr>
                <w:rFonts w:hint="eastAsia" w:asciiTheme="majorEastAsia" w:hAnsiTheme="majorEastAsia" w:eastAsiaTheme="majorEastAsia" w:cstheme="majorEastAsia"/>
                <w:b/>
                <w:bCs/>
                <w:color w:val="000000"/>
                <w:kern w:val="0"/>
                <w:sz w:val="21"/>
                <w:szCs w:val="21"/>
                <w:lang w:val="en-US" w:eastAsia="zh-CN"/>
              </w:rPr>
              <w:t>10分</w:t>
            </w:r>
            <w:r>
              <w:rPr>
                <w:rFonts w:hint="eastAsia" w:asciiTheme="majorEastAsia" w:hAnsiTheme="majorEastAsia" w:eastAsiaTheme="majorEastAsia" w:cstheme="majorEastAsia"/>
                <w:b/>
                <w:bCs/>
                <w:color w:val="000000"/>
                <w:kern w:val="0"/>
                <w:sz w:val="21"/>
                <w:szCs w:val="21"/>
                <w:lang w:eastAsia="zh-CN"/>
              </w:rPr>
              <w:t>）</w:t>
            </w:r>
          </w:p>
        </w:tc>
        <w:tc>
          <w:tcPr>
            <w:tcW w:w="2008" w:type="dxa"/>
            <w:noWrap w:val="0"/>
            <w:vAlign w:val="center"/>
          </w:tcPr>
          <w:p w14:paraId="00A83D05">
            <w:pPr>
              <w:widowControl/>
              <w:spacing w:line="5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项目立项</w:t>
            </w:r>
          </w:p>
        </w:tc>
        <w:tc>
          <w:tcPr>
            <w:tcW w:w="864" w:type="dxa"/>
            <w:noWrap w:val="0"/>
            <w:vAlign w:val="center"/>
          </w:tcPr>
          <w:p w14:paraId="7B8ED9C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858" w:type="dxa"/>
            <w:noWrap w:val="0"/>
            <w:vAlign w:val="center"/>
          </w:tcPr>
          <w:p w14:paraId="266B282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859" w:type="dxa"/>
            <w:noWrap w:val="0"/>
            <w:vAlign w:val="center"/>
          </w:tcPr>
          <w:p w14:paraId="6E3D696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950" w:type="dxa"/>
            <w:noWrap w:val="0"/>
            <w:vAlign w:val="center"/>
          </w:tcPr>
          <w:p w14:paraId="4DD0863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913" w:type="dxa"/>
            <w:noWrap w:val="0"/>
            <w:vAlign w:val="center"/>
          </w:tcPr>
          <w:p w14:paraId="5B72A3A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858" w:type="dxa"/>
            <w:noWrap w:val="0"/>
            <w:vAlign w:val="center"/>
          </w:tcPr>
          <w:p w14:paraId="33DA247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c>
          <w:tcPr>
            <w:tcW w:w="878" w:type="dxa"/>
            <w:noWrap w:val="0"/>
            <w:vAlign w:val="center"/>
          </w:tcPr>
          <w:p w14:paraId="75D5877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4</w:t>
            </w:r>
          </w:p>
        </w:tc>
      </w:tr>
      <w:tr w14:paraId="177A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052B043E">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top"/>
          </w:tcPr>
          <w:p w14:paraId="4506B5EF">
            <w:pPr>
              <w:spacing w:line="56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立项依据充分性</w:t>
            </w:r>
          </w:p>
        </w:tc>
        <w:tc>
          <w:tcPr>
            <w:tcW w:w="864" w:type="dxa"/>
            <w:noWrap w:val="0"/>
            <w:vAlign w:val="center"/>
          </w:tcPr>
          <w:p w14:paraId="5D51221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156E757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9" w:type="dxa"/>
            <w:noWrap w:val="0"/>
            <w:vAlign w:val="center"/>
          </w:tcPr>
          <w:p w14:paraId="0D02410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50" w:type="dxa"/>
            <w:noWrap w:val="0"/>
            <w:vAlign w:val="center"/>
          </w:tcPr>
          <w:p w14:paraId="0F667DD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13" w:type="dxa"/>
            <w:noWrap w:val="0"/>
            <w:vAlign w:val="center"/>
          </w:tcPr>
          <w:p w14:paraId="0602D6C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1C86A59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78" w:type="dxa"/>
            <w:noWrap w:val="0"/>
            <w:vAlign w:val="center"/>
          </w:tcPr>
          <w:p w14:paraId="737A85D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r>
      <w:tr w14:paraId="1053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766B9F42">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top"/>
          </w:tcPr>
          <w:p w14:paraId="449134A0">
            <w:pPr>
              <w:spacing w:line="56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立项程序规范性</w:t>
            </w:r>
          </w:p>
        </w:tc>
        <w:tc>
          <w:tcPr>
            <w:tcW w:w="864" w:type="dxa"/>
            <w:noWrap w:val="0"/>
            <w:vAlign w:val="center"/>
          </w:tcPr>
          <w:p w14:paraId="049FCC3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1E18AD0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9" w:type="dxa"/>
            <w:noWrap w:val="0"/>
            <w:vAlign w:val="center"/>
          </w:tcPr>
          <w:p w14:paraId="1A947C9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50" w:type="dxa"/>
            <w:noWrap w:val="0"/>
            <w:vAlign w:val="center"/>
          </w:tcPr>
          <w:p w14:paraId="410B806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13" w:type="dxa"/>
            <w:noWrap w:val="0"/>
            <w:vAlign w:val="center"/>
          </w:tcPr>
          <w:p w14:paraId="2089919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7681D42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78" w:type="dxa"/>
            <w:noWrap w:val="0"/>
            <w:vAlign w:val="center"/>
          </w:tcPr>
          <w:p w14:paraId="7485408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r>
      <w:tr w14:paraId="0ACB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71D47046">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7AE5E364">
            <w:pPr>
              <w:widowControl/>
              <w:spacing w:line="5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绩效目标</w:t>
            </w:r>
          </w:p>
        </w:tc>
        <w:tc>
          <w:tcPr>
            <w:tcW w:w="864" w:type="dxa"/>
            <w:noWrap w:val="0"/>
            <w:vAlign w:val="center"/>
          </w:tcPr>
          <w:p w14:paraId="6FAEEE0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858" w:type="dxa"/>
            <w:noWrap w:val="0"/>
            <w:vAlign w:val="center"/>
          </w:tcPr>
          <w:p w14:paraId="4FA1279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w:t>
            </w:r>
          </w:p>
        </w:tc>
        <w:tc>
          <w:tcPr>
            <w:tcW w:w="859" w:type="dxa"/>
            <w:noWrap w:val="0"/>
            <w:vAlign w:val="center"/>
          </w:tcPr>
          <w:p w14:paraId="1028D2F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2.5</w:t>
            </w:r>
          </w:p>
        </w:tc>
        <w:tc>
          <w:tcPr>
            <w:tcW w:w="950" w:type="dxa"/>
            <w:noWrap w:val="0"/>
            <w:vAlign w:val="center"/>
          </w:tcPr>
          <w:p w14:paraId="6C17EB7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2.5</w:t>
            </w:r>
          </w:p>
        </w:tc>
        <w:tc>
          <w:tcPr>
            <w:tcW w:w="913" w:type="dxa"/>
            <w:noWrap w:val="0"/>
            <w:vAlign w:val="center"/>
          </w:tcPr>
          <w:p w14:paraId="476BDD9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w:t>
            </w:r>
          </w:p>
        </w:tc>
        <w:tc>
          <w:tcPr>
            <w:tcW w:w="858" w:type="dxa"/>
            <w:noWrap w:val="0"/>
            <w:vAlign w:val="center"/>
          </w:tcPr>
          <w:p w14:paraId="3782F20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878" w:type="dxa"/>
            <w:noWrap w:val="0"/>
            <w:vAlign w:val="center"/>
          </w:tcPr>
          <w:p w14:paraId="2BA12A5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2.4</w:t>
            </w:r>
          </w:p>
        </w:tc>
      </w:tr>
      <w:tr w14:paraId="3963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62C3CD2B">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3B336A8D">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绩效目标合理性</w:t>
            </w:r>
          </w:p>
        </w:tc>
        <w:tc>
          <w:tcPr>
            <w:tcW w:w="864" w:type="dxa"/>
            <w:noWrap w:val="0"/>
            <w:vAlign w:val="center"/>
          </w:tcPr>
          <w:p w14:paraId="25231A9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0655E80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1.5</w:t>
            </w:r>
          </w:p>
        </w:tc>
        <w:tc>
          <w:tcPr>
            <w:tcW w:w="859" w:type="dxa"/>
            <w:noWrap w:val="0"/>
            <w:vAlign w:val="center"/>
          </w:tcPr>
          <w:p w14:paraId="758D48D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50" w:type="dxa"/>
            <w:noWrap w:val="0"/>
            <w:vAlign w:val="center"/>
          </w:tcPr>
          <w:p w14:paraId="3C048F3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13" w:type="dxa"/>
            <w:noWrap w:val="0"/>
            <w:vAlign w:val="center"/>
          </w:tcPr>
          <w:p w14:paraId="7267740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1.5</w:t>
            </w:r>
          </w:p>
        </w:tc>
        <w:tc>
          <w:tcPr>
            <w:tcW w:w="858" w:type="dxa"/>
            <w:noWrap w:val="0"/>
            <w:vAlign w:val="center"/>
          </w:tcPr>
          <w:p w14:paraId="233DCFB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78" w:type="dxa"/>
            <w:noWrap w:val="0"/>
            <w:vAlign w:val="center"/>
          </w:tcPr>
          <w:p w14:paraId="66A5512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1.8</w:t>
            </w:r>
          </w:p>
        </w:tc>
      </w:tr>
      <w:tr w14:paraId="26E3A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5587A637">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75631788">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绩效指标明确性</w:t>
            </w:r>
          </w:p>
        </w:tc>
        <w:tc>
          <w:tcPr>
            <w:tcW w:w="864" w:type="dxa"/>
            <w:noWrap w:val="0"/>
            <w:vAlign w:val="center"/>
          </w:tcPr>
          <w:p w14:paraId="79DA806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58" w:type="dxa"/>
            <w:noWrap w:val="0"/>
            <w:vAlign w:val="center"/>
          </w:tcPr>
          <w:p w14:paraId="5218971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0.5</w:t>
            </w:r>
          </w:p>
        </w:tc>
        <w:tc>
          <w:tcPr>
            <w:tcW w:w="859" w:type="dxa"/>
            <w:noWrap w:val="0"/>
            <w:vAlign w:val="center"/>
          </w:tcPr>
          <w:p w14:paraId="253379F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0.5</w:t>
            </w:r>
          </w:p>
        </w:tc>
        <w:tc>
          <w:tcPr>
            <w:tcW w:w="950" w:type="dxa"/>
            <w:noWrap w:val="0"/>
            <w:vAlign w:val="center"/>
          </w:tcPr>
          <w:p w14:paraId="646A511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0.5</w:t>
            </w:r>
          </w:p>
        </w:tc>
        <w:tc>
          <w:tcPr>
            <w:tcW w:w="913" w:type="dxa"/>
            <w:noWrap w:val="0"/>
            <w:vAlign w:val="center"/>
          </w:tcPr>
          <w:p w14:paraId="5A8F9AE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0.5</w:t>
            </w:r>
          </w:p>
        </w:tc>
        <w:tc>
          <w:tcPr>
            <w:tcW w:w="858" w:type="dxa"/>
            <w:noWrap w:val="0"/>
            <w:vAlign w:val="center"/>
          </w:tcPr>
          <w:p w14:paraId="46B1A4E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78" w:type="dxa"/>
            <w:noWrap w:val="0"/>
            <w:vAlign w:val="center"/>
          </w:tcPr>
          <w:p w14:paraId="47CFF22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0.6</w:t>
            </w:r>
          </w:p>
        </w:tc>
      </w:tr>
      <w:tr w14:paraId="00A60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D5D7ECD">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29947619">
            <w:pPr>
              <w:widowControl/>
              <w:spacing w:line="5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资金投入</w:t>
            </w:r>
          </w:p>
        </w:tc>
        <w:tc>
          <w:tcPr>
            <w:tcW w:w="864" w:type="dxa"/>
            <w:noWrap w:val="0"/>
            <w:vAlign w:val="center"/>
          </w:tcPr>
          <w:p w14:paraId="2482E83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858" w:type="dxa"/>
            <w:noWrap w:val="0"/>
            <w:vAlign w:val="center"/>
          </w:tcPr>
          <w:p w14:paraId="1258727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2.5</w:t>
            </w:r>
          </w:p>
        </w:tc>
        <w:tc>
          <w:tcPr>
            <w:tcW w:w="859" w:type="dxa"/>
            <w:noWrap w:val="0"/>
            <w:vAlign w:val="center"/>
          </w:tcPr>
          <w:p w14:paraId="42977A5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950" w:type="dxa"/>
            <w:noWrap w:val="0"/>
            <w:vAlign w:val="center"/>
          </w:tcPr>
          <w:p w14:paraId="0C486AA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913" w:type="dxa"/>
            <w:noWrap w:val="0"/>
            <w:vAlign w:val="center"/>
          </w:tcPr>
          <w:p w14:paraId="4198830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3</w:t>
            </w:r>
          </w:p>
        </w:tc>
        <w:tc>
          <w:tcPr>
            <w:tcW w:w="858" w:type="dxa"/>
            <w:noWrap w:val="0"/>
            <w:vAlign w:val="center"/>
          </w:tcPr>
          <w:p w14:paraId="4407E00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2.5</w:t>
            </w:r>
          </w:p>
        </w:tc>
        <w:tc>
          <w:tcPr>
            <w:tcW w:w="878" w:type="dxa"/>
            <w:noWrap w:val="0"/>
            <w:vAlign w:val="center"/>
          </w:tcPr>
          <w:p w14:paraId="03462F6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2.8</w:t>
            </w:r>
          </w:p>
        </w:tc>
      </w:tr>
      <w:tr w14:paraId="3987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2CBB1197">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544EE62B">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预算编制科学性</w:t>
            </w:r>
          </w:p>
        </w:tc>
        <w:tc>
          <w:tcPr>
            <w:tcW w:w="864" w:type="dxa"/>
            <w:noWrap w:val="0"/>
            <w:vAlign w:val="center"/>
          </w:tcPr>
          <w:p w14:paraId="6742349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3F05584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1.5</w:t>
            </w:r>
          </w:p>
        </w:tc>
        <w:tc>
          <w:tcPr>
            <w:tcW w:w="859" w:type="dxa"/>
            <w:noWrap w:val="0"/>
            <w:vAlign w:val="center"/>
          </w:tcPr>
          <w:p w14:paraId="76AF2AB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50" w:type="dxa"/>
            <w:noWrap w:val="0"/>
            <w:vAlign w:val="center"/>
          </w:tcPr>
          <w:p w14:paraId="0C1E1F2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13" w:type="dxa"/>
            <w:noWrap w:val="0"/>
            <w:vAlign w:val="center"/>
          </w:tcPr>
          <w:p w14:paraId="5540262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3113DE3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1.5</w:t>
            </w:r>
          </w:p>
        </w:tc>
        <w:tc>
          <w:tcPr>
            <w:tcW w:w="878" w:type="dxa"/>
            <w:noWrap w:val="0"/>
            <w:vAlign w:val="center"/>
          </w:tcPr>
          <w:p w14:paraId="03E3150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1.8</w:t>
            </w:r>
          </w:p>
        </w:tc>
      </w:tr>
      <w:tr w14:paraId="5ACB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24470FF3">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2BBC493B">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资金分配合理性</w:t>
            </w:r>
          </w:p>
        </w:tc>
        <w:tc>
          <w:tcPr>
            <w:tcW w:w="864" w:type="dxa"/>
            <w:noWrap w:val="0"/>
            <w:vAlign w:val="center"/>
          </w:tcPr>
          <w:p w14:paraId="027A28F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58" w:type="dxa"/>
            <w:noWrap w:val="0"/>
            <w:vAlign w:val="center"/>
          </w:tcPr>
          <w:p w14:paraId="33A982C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59" w:type="dxa"/>
            <w:noWrap w:val="0"/>
            <w:vAlign w:val="center"/>
          </w:tcPr>
          <w:p w14:paraId="5BE8EFD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950" w:type="dxa"/>
            <w:noWrap w:val="0"/>
            <w:vAlign w:val="center"/>
          </w:tcPr>
          <w:p w14:paraId="1F9633B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913" w:type="dxa"/>
            <w:noWrap w:val="0"/>
            <w:vAlign w:val="center"/>
          </w:tcPr>
          <w:p w14:paraId="53CB4AE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58" w:type="dxa"/>
            <w:noWrap w:val="0"/>
            <w:vAlign w:val="center"/>
          </w:tcPr>
          <w:p w14:paraId="3A133E8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878" w:type="dxa"/>
            <w:noWrap w:val="0"/>
            <w:vAlign w:val="center"/>
          </w:tcPr>
          <w:p w14:paraId="0CB6B01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r>
      <w:tr w14:paraId="175BC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restart"/>
            <w:noWrap w:val="0"/>
            <w:vAlign w:val="center"/>
          </w:tcPr>
          <w:p w14:paraId="258D8C47">
            <w:pPr>
              <w:widowControl/>
              <w:spacing w:line="560" w:lineRule="exact"/>
              <w:jc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过程</w:t>
            </w:r>
          </w:p>
          <w:p w14:paraId="1A30FDCA">
            <w:pPr>
              <w:widowControl/>
              <w:spacing w:line="560" w:lineRule="exact"/>
              <w:jc w:val="center"/>
              <w:rPr>
                <w:rFonts w:hint="eastAsia" w:asciiTheme="majorEastAsia" w:hAnsiTheme="majorEastAsia" w:eastAsiaTheme="majorEastAsia" w:cstheme="majorEastAsia"/>
                <w:b/>
                <w:bCs/>
                <w:color w:val="000000"/>
                <w:kern w:val="0"/>
                <w:sz w:val="21"/>
                <w:szCs w:val="21"/>
                <w:lang w:eastAsia="zh-CN"/>
              </w:rPr>
            </w:pPr>
            <w:r>
              <w:rPr>
                <w:rFonts w:hint="eastAsia" w:asciiTheme="majorEastAsia" w:hAnsiTheme="majorEastAsia" w:eastAsiaTheme="majorEastAsia" w:cstheme="majorEastAsia"/>
                <w:b/>
                <w:bCs/>
                <w:color w:val="000000"/>
                <w:kern w:val="0"/>
                <w:sz w:val="21"/>
                <w:szCs w:val="21"/>
                <w:lang w:eastAsia="zh-CN"/>
              </w:rPr>
              <w:t>（</w:t>
            </w:r>
            <w:r>
              <w:rPr>
                <w:rFonts w:hint="eastAsia" w:asciiTheme="majorEastAsia" w:hAnsiTheme="majorEastAsia" w:eastAsiaTheme="majorEastAsia" w:cstheme="majorEastAsia"/>
                <w:b/>
                <w:bCs/>
                <w:color w:val="000000"/>
                <w:kern w:val="0"/>
                <w:sz w:val="21"/>
                <w:szCs w:val="21"/>
                <w:lang w:val="en-US" w:eastAsia="zh-CN"/>
              </w:rPr>
              <w:t>20分</w:t>
            </w:r>
            <w:r>
              <w:rPr>
                <w:rFonts w:hint="eastAsia" w:asciiTheme="majorEastAsia" w:hAnsiTheme="majorEastAsia" w:eastAsiaTheme="majorEastAsia" w:cstheme="majorEastAsia"/>
                <w:b/>
                <w:bCs/>
                <w:color w:val="000000"/>
                <w:kern w:val="0"/>
                <w:sz w:val="21"/>
                <w:szCs w:val="21"/>
                <w:lang w:eastAsia="zh-CN"/>
              </w:rPr>
              <w:t>）</w:t>
            </w:r>
          </w:p>
        </w:tc>
        <w:tc>
          <w:tcPr>
            <w:tcW w:w="2008" w:type="dxa"/>
            <w:noWrap w:val="0"/>
            <w:vAlign w:val="center"/>
          </w:tcPr>
          <w:p w14:paraId="1CB2C318">
            <w:pPr>
              <w:widowControl/>
              <w:spacing w:line="5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资金管理</w:t>
            </w:r>
          </w:p>
        </w:tc>
        <w:tc>
          <w:tcPr>
            <w:tcW w:w="864" w:type="dxa"/>
            <w:noWrap w:val="0"/>
            <w:vAlign w:val="center"/>
          </w:tcPr>
          <w:p w14:paraId="68C0C72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7926D77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9" w:type="dxa"/>
            <w:noWrap w:val="0"/>
            <w:vAlign w:val="center"/>
          </w:tcPr>
          <w:p w14:paraId="15BCAFF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950" w:type="dxa"/>
            <w:noWrap w:val="0"/>
            <w:vAlign w:val="center"/>
          </w:tcPr>
          <w:p w14:paraId="26B9C78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913" w:type="dxa"/>
            <w:noWrap w:val="0"/>
            <w:vAlign w:val="center"/>
          </w:tcPr>
          <w:p w14:paraId="050AE1D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48A670F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78" w:type="dxa"/>
            <w:noWrap w:val="0"/>
            <w:vAlign w:val="center"/>
          </w:tcPr>
          <w:p w14:paraId="2EA9F1A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r>
      <w:tr w14:paraId="74724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78F065EA">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247A99AF">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资金到位率</w:t>
            </w:r>
          </w:p>
        </w:tc>
        <w:tc>
          <w:tcPr>
            <w:tcW w:w="864" w:type="dxa"/>
            <w:noWrap w:val="0"/>
            <w:vAlign w:val="center"/>
          </w:tcPr>
          <w:p w14:paraId="717DBE6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4698C05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9" w:type="dxa"/>
            <w:noWrap w:val="0"/>
            <w:vAlign w:val="center"/>
          </w:tcPr>
          <w:p w14:paraId="0EA9CC2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50" w:type="dxa"/>
            <w:noWrap w:val="0"/>
            <w:vAlign w:val="center"/>
          </w:tcPr>
          <w:p w14:paraId="57C169A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913" w:type="dxa"/>
            <w:noWrap w:val="0"/>
            <w:vAlign w:val="center"/>
          </w:tcPr>
          <w:p w14:paraId="5C57E99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58" w:type="dxa"/>
            <w:noWrap w:val="0"/>
            <w:vAlign w:val="center"/>
          </w:tcPr>
          <w:p w14:paraId="76955AE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878" w:type="dxa"/>
            <w:noWrap w:val="0"/>
            <w:vAlign w:val="center"/>
          </w:tcPr>
          <w:p w14:paraId="5363BD2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r>
      <w:tr w14:paraId="0A718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6C1D706C">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101A0ABE">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预算执行率</w:t>
            </w:r>
          </w:p>
        </w:tc>
        <w:tc>
          <w:tcPr>
            <w:tcW w:w="864" w:type="dxa"/>
            <w:noWrap w:val="0"/>
            <w:vAlign w:val="center"/>
          </w:tcPr>
          <w:p w14:paraId="4B20DD9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8" w:type="dxa"/>
            <w:noWrap w:val="0"/>
            <w:vAlign w:val="center"/>
          </w:tcPr>
          <w:p w14:paraId="03D24A5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9" w:type="dxa"/>
            <w:noWrap w:val="0"/>
            <w:vAlign w:val="center"/>
          </w:tcPr>
          <w:p w14:paraId="5F7D96A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950" w:type="dxa"/>
            <w:noWrap w:val="0"/>
            <w:vAlign w:val="center"/>
          </w:tcPr>
          <w:p w14:paraId="2E6972F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913" w:type="dxa"/>
            <w:noWrap w:val="0"/>
            <w:vAlign w:val="center"/>
          </w:tcPr>
          <w:p w14:paraId="319D931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8" w:type="dxa"/>
            <w:noWrap w:val="0"/>
            <w:vAlign w:val="center"/>
          </w:tcPr>
          <w:p w14:paraId="5BA38B1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78" w:type="dxa"/>
            <w:noWrap w:val="0"/>
            <w:vAlign w:val="center"/>
          </w:tcPr>
          <w:p w14:paraId="1AD9FB7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r>
      <w:tr w14:paraId="576E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2064221D">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0750B4A5">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资金使用合规性</w:t>
            </w:r>
          </w:p>
        </w:tc>
        <w:tc>
          <w:tcPr>
            <w:tcW w:w="864" w:type="dxa"/>
            <w:noWrap w:val="0"/>
            <w:vAlign w:val="center"/>
          </w:tcPr>
          <w:p w14:paraId="169DB8C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858" w:type="dxa"/>
            <w:noWrap w:val="0"/>
            <w:vAlign w:val="center"/>
          </w:tcPr>
          <w:p w14:paraId="2D33402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859" w:type="dxa"/>
            <w:noWrap w:val="0"/>
            <w:vAlign w:val="center"/>
          </w:tcPr>
          <w:p w14:paraId="7ED480F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950" w:type="dxa"/>
            <w:noWrap w:val="0"/>
            <w:vAlign w:val="center"/>
          </w:tcPr>
          <w:p w14:paraId="5ABDA1A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913" w:type="dxa"/>
            <w:noWrap w:val="0"/>
            <w:vAlign w:val="center"/>
          </w:tcPr>
          <w:p w14:paraId="7A9F007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858" w:type="dxa"/>
            <w:noWrap w:val="0"/>
            <w:vAlign w:val="center"/>
          </w:tcPr>
          <w:p w14:paraId="000DB76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878" w:type="dxa"/>
            <w:noWrap w:val="0"/>
            <w:vAlign w:val="center"/>
          </w:tcPr>
          <w:p w14:paraId="38C37ED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r>
      <w:tr w14:paraId="25745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7D6CAB2">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5F36409F">
            <w:pPr>
              <w:widowControl/>
              <w:spacing w:line="5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color w:val="000000"/>
                <w:kern w:val="0"/>
                <w:sz w:val="21"/>
                <w:szCs w:val="21"/>
              </w:rPr>
              <w:t>组织实施</w:t>
            </w:r>
          </w:p>
        </w:tc>
        <w:tc>
          <w:tcPr>
            <w:tcW w:w="864" w:type="dxa"/>
            <w:noWrap w:val="0"/>
            <w:vAlign w:val="center"/>
          </w:tcPr>
          <w:p w14:paraId="466A548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7B2053B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859" w:type="dxa"/>
            <w:noWrap w:val="0"/>
            <w:vAlign w:val="center"/>
          </w:tcPr>
          <w:p w14:paraId="0ADB904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8.5</w:t>
            </w:r>
          </w:p>
        </w:tc>
        <w:tc>
          <w:tcPr>
            <w:tcW w:w="950" w:type="dxa"/>
            <w:noWrap w:val="0"/>
            <w:vAlign w:val="center"/>
          </w:tcPr>
          <w:p w14:paraId="3823BC3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913" w:type="dxa"/>
            <w:noWrap w:val="0"/>
            <w:vAlign w:val="center"/>
          </w:tcPr>
          <w:p w14:paraId="25A8B44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8" w:type="dxa"/>
            <w:noWrap w:val="0"/>
            <w:vAlign w:val="center"/>
          </w:tcPr>
          <w:p w14:paraId="39AE50E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878" w:type="dxa"/>
            <w:noWrap w:val="0"/>
            <w:vAlign w:val="center"/>
          </w:tcPr>
          <w:p w14:paraId="3D92B90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8.3</w:t>
            </w:r>
          </w:p>
        </w:tc>
      </w:tr>
      <w:tr w14:paraId="43F68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66FC56B9">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00039B6C">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管理制度健全性</w:t>
            </w:r>
          </w:p>
        </w:tc>
        <w:tc>
          <w:tcPr>
            <w:tcW w:w="864" w:type="dxa"/>
            <w:noWrap w:val="0"/>
            <w:vAlign w:val="center"/>
          </w:tcPr>
          <w:p w14:paraId="2B73471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8" w:type="dxa"/>
            <w:noWrap w:val="0"/>
            <w:vAlign w:val="center"/>
          </w:tcPr>
          <w:p w14:paraId="5DDCE4E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859" w:type="dxa"/>
            <w:noWrap w:val="0"/>
            <w:vAlign w:val="center"/>
          </w:tcPr>
          <w:p w14:paraId="4CB09D8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950" w:type="dxa"/>
            <w:noWrap w:val="0"/>
            <w:vAlign w:val="center"/>
          </w:tcPr>
          <w:p w14:paraId="68EFCC5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913" w:type="dxa"/>
            <w:noWrap w:val="0"/>
            <w:vAlign w:val="center"/>
          </w:tcPr>
          <w:p w14:paraId="47A0A4C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8" w:type="dxa"/>
            <w:noWrap w:val="0"/>
            <w:vAlign w:val="center"/>
          </w:tcPr>
          <w:p w14:paraId="6979ED3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878" w:type="dxa"/>
            <w:noWrap w:val="0"/>
            <w:vAlign w:val="center"/>
          </w:tcPr>
          <w:p w14:paraId="53EFEF5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4.2</w:t>
            </w:r>
          </w:p>
        </w:tc>
      </w:tr>
      <w:tr w14:paraId="5DF64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2AF42614">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69172D08">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制度执行有效性</w:t>
            </w:r>
          </w:p>
        </w:tc>
        <w:tc>
          <w:tcPr>
            <w:tcW w:w="864" w:type="dxa"/>
            <w:noWrap w:val="0"/>
            <w:vAlign w:val="center"/>
          </w:tcPr>
          <w:p w14:paraId="7895274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858" w:type="dxa"/>
            <w:noWrap w:val="0"/>
            <w:vAlign w:val="center"/>
          </w:tcPr>
          <w:p w14:paraId="1974737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859" w:type="dxa"/>
            <w:noWrap w:val="0"/>
            <w:vAlign w:val="center"/>
          </w:tcPr>
          <w:p w14:paraId="7C177DC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4.5</w:t>
            </w:r>
          </w:p>
        </w:tc>
        <w:tc>
          <w:tcPr>
            <w:tcW w:w="950" w:type="dxa"/>
            <w:noWrap w:val="0"/>
            <w:vAlign w:val="center"/>
          </w:tcPr>
          <w:p w14:paraId="55A6B37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913" w:type="dxa"/>
            <w:noWrap w:val="0"/>
            <w:vAlign w:val="center"/>
          </w:tcPr>
          <w:p w14:paraId="06FA545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858" w:type="dxa"/>
            <w:noWrap w:val="0"/>
            <w:vAlign w:val="center"/>
          </w:tcPr>
          <w:p w14:paraId="1A565E6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878" w:type="dxa"/>
            <w:noWrap w:val="0"/>
            <w:vAlign w:val="center"/>
          </w:tcPr>
          <w:p w14:paraId="1876516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4.1</w:t>
            </w:r>
          </w:p>
        </w:tc>
      </w:tr>
      <w:tr w14:paraId="72F4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restart"/>
            <w:noWrap w:val="0"/>
            <w:vAlign w:val="center"/>
          </w:tcPr>
          <w:p w14:paraId="470608D0">
            <w:pPr>
              <w:widowControl/>
              <w:spacing w:line="560" w:lineRule="exact"/>
              <w:jc w:val="center"/>
              <w:rPr>
                <w:rFonts w:hint="eastAsia" w:asciiTheme="majorEastAsia" w:hAnsiTheme="majorEastAsia" w:eastAsiaTheme="majorEastAsia" w:cstheme="majorEastAsia"/>
                <w:b/>
                <w:color w:val="000000"/>
                <w:kern w:val="0"/>
                <w:sz w:val="21"/>
                <w:szCs w:val="21"/>
              </w:rPr>
            </w:pPr>
            <w:r>
              <w:rPr>
                <w:rFonts w:hint="eastAsia" w:asciiTheme="majorEastAsia" w:hAnsiTheme="majorEastAsia" w:eastAsiaTheme="majorEastAsia" w:cstheme="majorEastAsia"/>
                <w:b/>
                <w:color w:val="000000"/>
                <w:kern w:val="0"/>
                <w:sz w:val="21"/>
                <w:szCs w:val="21"/>
              </w:rPr>
              <w:t>产出</w:t>
            </w:r>
          </w:p>
          <w:p w14:paraId="7B232139">
            <w:pPr>
              <w:widowControl/>
              <w:spacing w:line="560" w:lineRule="exact"/>
              <w:jc w:val="center"/>
              <w:rPr>
                <w:rFonts w:hint="eastAsia" w:asciiTheme="majorEastAsia" w:hAnsiTheme="majorEastAsia" w:eastAsiaTheme="majorEastAsia" w:cstheme="majorEastAsia"/>
                <w:b/>
                <w:color w:val="000000"/>
                <w:kern w:val="0"/>
                <w:sz w:val="21"/>
                <w:szCs w:val="21"/>
                <w:lang w:eastAsia="zh-CN"/>
              </w:rPr>
            </w:pPr>
            <w:r>
              <w:rPr>
                <w:rFonts w:hint="eastAsia" w:asciiTheme="majorEastAsia" w:hAnsiTheme="majorEastAsia" w:eastAsiaTheme="majorEastAsia" w:cstheme="majorEastAsia"/>
                <w:b/>
                <w:color w:val="000000"/>
                <w:kern w:val="0"/>
                <w:sz w:val="21"/>
                <w:szCs w:val="21"/>
                <w:lang w:eastAsia="zh-CN"/>
              </w:rPr>
              <w:t>（</w:t>
            </w:r>
            <w:r>
              <w:rPr>
                <w:rFonts w:hint="eastAsia" w:asciiTheme="majorEastAsia" w:hAnsiTheme="majorEastAsia" w:eastAsiaTheme="majorEastAsia" w:cstheme="majorEastAsia"/>
                <w:b/>
                <w:color w:val="000000"/>
                <w:kern w:val="0"/>
                <w:sz w:val="21"/>
                <w:szCs w:val="21"/>
                <w:lang w:val="en-US" w:eastAsia="zh-CN"/>
              </w:rPr>
              <w:t>40分</w:t>
            </w:r>
            <w:r>
              <w:rPr>
                <w:rFonts w:hint="eastAsia" w:asciiTheme="majorEastAsia" w:hAnsiTheme="majorEastAsia" w:eastAsiaTheme="majorEastAsia" w:cstheme="majorEastAsia"/>
                <w:b/>
                <w:color w:val="000000"/>
                <w:kern w:val="0"/>
                <w:sz w:val="21"/>
                <w:szCs w:val="21"/>
                <w:lang w:eastAsia="zh-CN"/>
              </w:rPr>
              <w:t>）</w:t>
            </w:r>
          </w:p>
        </w:tc>
        <w:tc>
          <w:tcPr>
            <w:tcW w:w="2008" w:type="dxa"/>
            <w:noWrap w:val="0"/>
            <w:vAlign w:val="center"/>
          </w:tcPr>
          <w:p w14:paraId="2BE040BE">
            <w:pPr>
              <w:widowControl/>
              <w:spacing w:line="560" w:lineRule="exact"/>
              <w:rPr>
                <w:rFonts w:hint="eastAsia" w:asciiTheme="majorEastAsia" w:hAnsiTheme="majorEastAsia" w:eastAsiaTheme="majorEastAsia" w:cstheme="majorEastAsia"/>
                <w:b/>
                <w:color w:val="000000"/>
                <w:kern w:val="0"/>
                <w:sz w:val="21"/>
                <w:szCs w:val="21"/>
              </w:rPr>
            </w:pPr>
            <w:r>
              <w:rPr>
                <w:rFonts w:hint="eastAsia" w:asciiTheme="majorEastAsia" w:hAnsiTheme="majorEastAsia" w:eastAsiaTheme="majorEastAsia" w:cstheme="majorEastAsia"/>
                <w:b/>
                <w:color w:val="000000"/>
                <w:kern w:val="0"/>
                <w:sz w:val="21"/>
                <w:szCs w:val="21"/>
              </w:rPr>
              <w:t>产出数量</w:t>
            </w:r>
          </w:p>
        </w:tc>
        <w:tc>
          <w:tcPr>
            <w:tcW w:w="864" w:type="dxa"/>
            <w:noWrap w:val="0"/>
            <w:vAlign w:val="center"/>
          </w:tcPr>
          <w:p w14:paraId="0DA37E8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0AEF4B5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9" w:type="dxa"/>
            <w:noWrap w:val="0"/>
            <w:vAlign w:val="center"/>
          </w:tcPr>
          <w:p w14:paraId="4FD0EE8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950" w:type="dxa"/>
            <w:noWrap w:val="0"/>
            <w:vAlign w:val="center"/>
          </w:tcPr>
          <w:p w14:paraId="4153619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913" w:type="dxa"/>
            <w:noWrap w:val="0"/>
            <w:vAlign w:val="center"/>
          </w:tcPr>
          <w:p w14:paraId="48AA5D6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858" w:type="dxa"/>
            <w:noWrap w:val="0"/>
            <w:vAlign w:val="center"/>
          </w:tcPr>
          <w:p w14:paraId="00BE420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78" w:type="dxa"/>
            <w:noWrap w:val="0"/>
            <w:vAlign w:val="center"/>
          </w:tcPr>
          <w:p w14:paraId="538DEBD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9.2</w:t>
            </w:r>
          </w:p>
        </w:tc>
      </w:tr>
      <w:tr w14:paraId="64F6E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3B963F55">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629FB548">
            <w:pPr>
              <w:widowControl/>
              <w:spacing w:line="560" w:lineRule="exact"/>
              <w:jc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rPr>
              <w:t>实际完成率</w:t>
            </w:r>
          </w:p>
        </w:tc>
        <w:tc>
          <w:tcPr>
            <w:tcW w:w="864" w:type="dxa"/>
            <w:noWrap w:val="0"/>
            <w:vAlign w:val="center"/>
          </w:tcPr>
          <w:p w14:paraId="32E3160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i w:val="0"/>
                <w:iCs w:val="0"/>
                <w:color w:val="000000"/>
                <w:kern w:val="0"/>
                <w:sz w:val="21"/>
                <w:szCs w:val="21"/>
                <w:u w:val="none"/>
                <w:lang w:val="en-US" w:eastAsia="zh-CN" w:bidi="ar"/>
              </w:rPr>
              <w:t>10</w:t>
            </w:r>
          </w:p>
        </w:tc>
        <w:tc>
          <w:tcPr>
            <w:tcW w:w="858" w:type="dxa"/>
            <w:noWrap w:val="0"/>
            <w:vAlign w:val="center"/>
          </w:tcPr>
          <w:p w14:paraId="132105B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10</w:t>
            </w:r>
          </w:p>
        </w:tc>
        <w:tc>
          <w:tcPr>
            <w:tcW w:w="859" w:type="dxa"/>
            <w:noWrap w:val="0"/>
            <w:vAlign w:val="center"/>
          </w:tcPr>
          <w:p w14:paraId="2438F1C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950" w:type="dxa"/>
            <w:noWrap w:val="0"/>
            <w:vAlign w:val="center"/>
          </w:tcPr>
          <w:p w14:paraId="5506F7B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10</w:t>
            </w:r>
          </w:p>
        </w:tc>
        <w:tc>
          <w:tcPr>
            <w:tcW w:w="913" w:type="dxa"/>
            <w:noWrap w:val="0"/>
            <w:vAlign w:val="center"/>
          </w:tcPr>
          <w:p w14:paraId="2273FB6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8</w:t>
            </w:r>
          </w:p>
        </w:tc>
        <w:tc>
          <w:tcPr>
            <w:tcW w:w="858" w:type="dxa"/>
            <w:noWrap w:val="0"/>
            <w:vAlign w:val="center"/>
          </w:tcPr>
          <w:p w14:paraId="0DB0641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878" w:type="dxa"/>
            <w:noWrap w:val="0"/>
            <w:vAlign w:val="center"/>
          </w:tcPr>
          <w:p w14:paraId="597B7CD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9.2</w:t>
            </w:r>
          </w:p>
        </w:tc>
      </w:tr>
      <w:tr w14:paraId="534A1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5222478">
            <w:pPr>
              <w:widowControl/>
              <w:spacing w:line="560" w:lineRule="exact"/>
              <w:jc w:val="center"/>
              <w:rPr>
                <w:rFonts w:hint="eastAsia" w:asciiTheme="majorEastAsia" w:hAnsiTheme="majorEastAsia" w:eastAsiaTheme="majorEastAsia" w:cstheme="majorEastAsia"/>
                <w:color w:val="000000"/>
                <w:kern w:val="0"/>
                <w:sz w:val="21"/>
                <w:szCs w:val="21"/>
              </w:rPr>
            </w:pPr>
          </w:p>
        </w:tc>
        <w:tc>
          <w:tcPr>
            <w:tcW w:w="2008" w:type="dxa"/>
            <w:noWrap w:val="0"/>
            <w:vAlign w:val="center"/>
          </w:tcPr>
          <w:p w14:paraId="4273B413">
            <w:pPr>
              <w:widowControl/>
              <w:spacing w:line="560" w:lineRule="exact"/>
              <w:rPr>
                <w:rFonts w:hint="eastAsia" w:asciiTheme="majorEastAsia" w:hAnsiTheme="majorEastAsia" w:eastAsiaTheme="majorEastAsia" w:cstheme="majorEastAsia"/>
                <w:b/>
                <w:color w:val="000000"/>
                <w:kern w:val="0"/>
                <w:sz w:val="21"/>
                <w:szCs w:val="21"/>
              </w:rPr>
            </w:pPr>
            <w:r>
              <w:rPr>
                <w:rFonts w:hint="eastAsia" w:asciiTheme="majorEastAsia" w:hAnsiTheme="majorEastAsia" w:eastAsiaTheme="majorEastAsia" w:cstheme="majorEastAsia"/>
                <w:b/>
                <w:color w:val="000000"/>
                <w:kern w:val="0"/>
                <w:sz w:val="21"/>
                <w:szCs w:val="21"/>
              </w:rPr>
              <w:t>产出质量</w:t>
            </w:r>
          </w:p>
        </w:tc>
        <w:tc>
          <w:tcPr>
            <w:tcW w:w="864" w:type="dxa"/>
            <w:noWrap w:val="0"/>
            <w:vAlign w:val="center"/>
          </w:tcPr>
          <w:p w14:paraId="7208421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2308A85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9" w:type="dxa"/>
            <w:noWrap w:val="0"/>
            <w:vAlign w:val="center"/>
          </w:tcPr>
          <w:p w14:paraId="1909886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950" w:type="dxa"/>
            <w:noWrap w:val="0"/>
            <w:vAlign w:val="center"/>
          </w:tcPr>
          <w:p w14:paraId="0FCD8C5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913" w:type="dxa"/>
            <w:noWrap w:val="0"/>
            <w:vAlign w:val="center"/>
          </w:tcPr>
          <w:p w14:paraId="40A080F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8" w:type="dxa"/>
            <w:noWrap w:val="0"/>
            <w:vAlign w:val="center"/>
          </w:tcPr>
          <w:p w14:paraId="62B113E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78" w:type="dxa"/>
            <w:noWrap w:val="0"/>
            <w:vAlign w:val="center"/>
          </w:tcPr>
          <w:p w14:paraId="01004E8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r>
      <w:tr w14:paraId="7301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3C057D1D">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5F26439C">
            <w:pPr>
              <w:widowControl/>
              <w:spacing w:line="560" w:lineRule="exact"/>
              <w:jc w:val="center"/>
              <w:rPr>
                <w:rFonts w:hint="eastAsia" w:asciiTheme="majorEastAsia" w:hAnsiTheme="majorEastAsia" w:eastAsiaTheme="majorEastAsia" w:cstheme="majorEastAsia"/>
                <w:bCs/>
                <w:color w:val="000000"/>
                <w:kern w:val="0"/>
                <w:sz w:val="21"/>
                <w:szCs w:val="21"/>
              </w:rPr>
            </w:pPr>
            <w:r>
              <w:rPr>
                <w:rFonts w:hint="eastAsia" w:asciiTheme="majorEastAsia" w:hAnsiTheme="majorEastAsia" w:eastAsiaTheme="majorEastAsia" w:cstheme="majorEastAsia"/>
                <w:bCs/>
                <w:color w:val="000000"/>
                <w:kern w:val="0"/>
                <w:sz w:val="21"/>
                <w:szCs w:val="21"/>
              </w:rPr>
              <w:t>质量达标率</w:t>
            </w:r>
          </w:p>
        </w:tc>
        <w:tc>
          <w:tcPr>
            <w:tcW w:w="864" w:type="dxa"/>
            <w:noWrap w:val="0"/>
            <w:vAlign w:val="center"/>
          </w:tcPr>
          <w:p w14:paraId="6257195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10</w:t>
            </w:r>
          </w:p>
        </w:tc>
        <w:tc>
          <w:tcPr>
            <w:tcW w:w="858" w:type="dxa"/>
            <w:noWrap w:val="0"/>
            <w:vAlign w:val="center"/>
          </w:tcPr>
          <w:p w14:paraId="7DD8E2C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859" w:type="dxa"/>
            <w:noWrap w:val="0"/>
            <w:vAlign w:val="center"/>
          </w:tcPr>
          <w:p w14:paraId="5648319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950" w:type="dxa"/>
            <w:noWrap w:val="0"/>
            <w:vAlign w:val="center"/>
          </w:tcPr>
          <w:p w14:paraId="3C71EFA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913" w:type="dxa"/>
            <w:noWrap w:val="0"/>
            <w:vAlign w:val="center"/>
          </w:tcPr>
          <w:p w14:paraId="0B2C352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858" w:type="dxa"/>
            <w:noWrap w:val="0"/>
            <w:vAlign w:val="center"/>
          </w:tcPr>
          <w:p w14:paraId="35BC369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878" w:type="dxa"/>
            <w:noWrap w:val="0"/>
            <w:vAlign w:val="center"/>
          </w:tcPr>
          <w:p w14:paraId="0D76290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r>
      <w:tr w14:paraId="093D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555516E7">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17033243">
            <w:pPr>
              <w:spacing w:line="560" w:lineRule="exact"/>
              <w:rPr>
                <w:rFonts w:hint="eastAsia" w:asciiTheme="majorEastAsia" w:hAnsiTheme="majorEastAsia" w:eastAsiaTheme="majorEastAsia" w:cstheme="majorEastAsia"/>
                <w:kern w:val="2"/>
                <w:sz w:val="21"/>
                <w:szCs w:val="21"/>
                <w:lang w:val="en-US" w:eastAsia="zh-CN" w:bidi="ar-SA"/>
              </w:rPr>
            </w:pPr>
            <w:r>
              <w:rPr>
                <w:rFonts w:hint="eastAsia" w:asciiTheme="majorEastAsia" w:hAnsiTheme="majorEastAsia" w:eastAsiaTheme="majorEastAsia" w:cstheme="majorEastAsia"/>
                <w:b/>
                <w:color w:val="000000"/>
                <w:kern w:val="0"/>
                <w:sz w:val="21"/>
                <w:szCs w:val="21"/>
              </w:rPr>
              <w:t>产出时效</w:t>
            </w:r>
          </w:p>
        </w:tc>
        <w:tc>
          <w:tcPr>
            <w:tcW w:w="864" w:type="dxa"/>
            <w:noWrap w:val="0"/>
            <w:vAlign w:val="center"/>
          </w:tcPr>
          <w:p w14:paraId="6D7AD5F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74A696D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859" w:type="dxa"/>
            <w:noWrap w:val="0"/>
            <w:vAlign w:val="center"/>
          </w:tcPr>
          <w:p w14:paraId="145A7FA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7</w:t>
            </w:r>
          </w:p>
        </w:tc>
        <w:tc>
          <w:tcPr>
            <w:tcW w:w="950" w:type="dxa"/>
            <w:noWrap w:val="0"/>
            <w:vAlign w:val="center"/>
          </w:tcPr>
          <w:p w14:paraId="3655298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913" w:type="dxa"/>
            <w:noWrap w:val="0"/>
            <w:vAlign w:val="center"/>
          </w:tcPr>
          <w:p w14:paraId="30DAF79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w:t>
            </w:r>
          </w:p>
        </w:tc>
        <w:tc>
          <w:tcPr>
            <w:tcW w:w="858" w:type="dxa"/>
            <w:noWrap w:val="0"/>
            <w:vAlign w:val="center"/>
          </w:tcPr>
          <w:p w14:paraId="7D893BB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7</w:t>
            </w:r>
          </w:p>
        </w:tc>
        <w:tc>
          <w:tcPr>
            <w:tcW w:w="878" w:type="dxa"/>
            <w:noWrap w:val="0"/>
            <w:vAlign w:val="center"/>
          </w:tcPr>
          <w:p w14:paraId="5A763DE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 xml:space="preserve">7.6 </w:t>
            </w:r>
          </w:p>
        </w:tc>
      </w:tr>
      <w:tr w14:paraId="2186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0A92356B">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6BC23A9C">
            <w:pPr>
              <w:spacing w:line="560" w:lineRule="exact"/>
              <w:jc w:val="center"/>
              <w:rPr>
                <w:rFonts w:hint="eastAsia" w:asciiTheme="majorEastAsia" w:hAnsiTheme="majorEastAsia" w:eastAsiaTheme="majorEastAsia" w:cstheme="majorEastAsia"/>
                <w:kern w:val="2"/>
                <w:sz w:val="21"/>
                <w:szCs w:val="21"/>
                <w:lang w:val="en-US" w:eastAsia="zh-CN" w:bidi="ar-SA"/>
              </w:rPr>
            </w:pPr>
            <w:r>
              <w:rPr>
                <w:rFonts w:hint="eastAsia" w:asciiTheme="majorEastAsia" w:hAnsiTheme="majorEastAsia" w:eastAsiaTheme="majorEastAsia" w:cstheme="majorEastAsia"/>
                <w:color w:val="000000"/>
                <w:kern w:val="0"/>
                <w:sz w:val="21"/>
                <w:szCs w:val="21"/>
              </w:rPr>
              <w:t>完成及时性</w:t>
            </w:r>
          </w:p>
        </w:tc>
        <w:tc>
          <w:tcPr>
            <w:tcW w:w="864" w:type="dxa"/>
            <w:noWrap w:val="0"/>
            <w:vAlign w:val="center"/>
          </w:tcPr>
          <w:p w14:paraId="1F31400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10</w:t>
            </w:r>
          </w:p>
        </w:tc>
        <w:tc>
          <w:tcPr>
            <w:tcW w:w="858" w:type="dxa"/>
            <w:noWrap w:val="0"/>
            <w:vAlign w:val="center"/>
          </w:tcPr>
          <w:p w14:paraId="2B28DFF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8</w:t>
            </w:r>
          </w:p>
        </w:tc>
        <w:tc>
          <w:tcPr>
            <w:tcW w:w="859" w:type="dxa"/>
            <w:noWrap w:val="0"/>
            <w:vAlign w:val="center"/>
          </w:tcPr>
          <w:p w14:paraId="293DDE0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7</w:t>
            </w:r>
          </w:p>
        </w:tc>
        <w:tc>
          <w:tcPr>
            <w:tcW w:w="950" w:type="dxa"/>
            <w:noWrap w:val="0"/>
            <w:vAlign w:val="center"/>
          </w:tcPr>
          <w:p w14:paraId="16B7EEB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8</w:t>
            </w:r>
          </w:p>
        </w:tc>
        <w:tc>
          <w:tcPr>
            <w:tcW w:w="913" w:type="dxa"/>
            <w:noWrap w:val="0"/>
            <w:vAlign w:val="center"/>
          </w:tcPr>
          <w:p w14:paraId="551CEC5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8</w:t>
            </w:r>
          </w:p>
        </w:tc>
        <w:tc>
          <w:tcPr>
            <w:tcW w:w="858" w:type="dxa"/>
            <w:noWrap w:val="0"/>
            <w:vAlign w:val="center"/>
          </w:tcPr>
          <w:p w14:paraId="5A1B4A9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7</w:t>
            </w:r>
          </w:p>
        </w:tc>
        <w:tc>
          <w:tcPr>
            <w:tcW w:w="878" w:type="dxa"/>
            <w:noWrap w:val="0"/>
            <w:vAlign w:val="center"/>
          </w:tcPr>
          <w:p w14:paraId="46CF1ED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i w:val="0"/>
                <w:iCs w:val="0"/>
                <w:color w:val="000000"/>
                <w:kern w:val="0"/>
                <w:sz w:val="21"/>
                <w:szCs w:val="21"/>
                <w:u w:val="none"/>
                <w:lang w:val="en-US" w:eastAsia="zh-CN" w:bidi="ar"/>
              </w:rPr>
              <w:t xml:space="preserve">7.6 </w:t>
            </w:r>
          </w:p>
        </w:tc>
      </w:tr>
      <w:tr w14:paraId="3C67E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0582714E">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45E5F3D6">
            <w:pPr>
              <w:spacing w:line="560" w:lineRule="exact"/>
              <w:rPr>
                <w:rFonts w:hint="eastAsia" w:asciiTheme="majorEastAsia" w:hAnsiTheme="majorEastAsia" w:eastAsiaTheme="majorEastAsia" w:cstheme="majorEastAsia"/>
                <w:kern w:val="2"/>
                <w:sz w:val="21"/>
                <w:szCs w:val="21"/>
                <w:lang w:val="en-US" w:eastAsia="zh-CN" w:bidi="ar-SA"/>
              </w:rPr>
            </w:pPr>
            <w:r>
              <w:rPr>
                <w:rFonts w:hint="eastAsia" w:asciiTheme="majorEastAsia" w:hAnsiTheme="majorEastAsia" w:eastAsiaTheme="majorEastAsia" w:cstheme="majorEastAsia"/>
                <w:b/>
                <w:color w:val="000000"/>
                <w:kern w:val="0"/>
                <w:sz w:val="21"/>
                <w:szCs w:val="21"/>
              </w:rPr>
              <w:t>产出成本</w:t>
            </w:r>
          </w:p>
        </w:tc>
        <w:tc>
          <w:tcPr>
            <w:tcW w:w="864" w:type="dxa"/>
            <w:noWrap w:val="0"/>
            <w:vAlign w:val="center"/>
          </w:tcPr>
          <w:p w14:paraId="5773A5D2">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07BF163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9" w:type="dxa"/>
            <w:noWrap w:val="0"/>
            <w:vAlign w:val="center"/>
          </w:tcPr>
          <w:p w14:paraId="5BB10FDA">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950" w:type="dxa"/>
            <w:noWrap w:val="0"/>
            <w:vAlign w:val="center"/>
          </w:tcPr>
          <w:p w14:paraId="1FDB021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913" w:type="dxa"/>
            <w:noWrap w:val="0"/>
            <w:vAlign w:val="center"/>
          </w:tcPr>
          <w:p w14:paraId="39F08C1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8" w:type="dxa"/>
            <w:noWrap w:val="0"/>
            <w:vAlign w:val="center"/>
          </w:tcPr>
          <w:p w14:paraId="224F90F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78" w:type="dxa"/>
            <w:noWrap w:val="0"/>
            <w:vAlign w:val="center"/>
          </w:tcPr>
          <w:p w14:paraId="61DCB6A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9.4</w:t>
            </w:r>
          </w:p>
        </w:tc>
      </w:tr>
      <w:tr w14:paraId="03E3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3F6DC71B">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1198F1D3">
            <w:pPr>
              <w:spacing w:line="560" w:lineRule="exact"/>
              <w:jc w:val="center"/>
              <w:rPr>
                <w:rFonts w:hint="eastAsia" w:asciiTheme="majorEastAsia" w:hAnsiTheme="majorEastAsia" w:eastAsiaTheme="majorEastAsia" w:cstheme="majorEastAsia"/>
                <w:kern w:val="2"/>
                <w:sz w:val="21"/>
                <w:szCs w:val="21"/>
                <w:lang w:val="en-US" w:eastAsia="zh-CN" w:bidi="ar-SA"/>
              </w:rPr>
            </w:pPr>
            <w:r>
              <w:rPr>
                <w:rFonts w:hint="eastAsia" w:asciiTheme="majorEastAsia" w:hAnsiTheme="majorEastAsia" w:eastAsiaTheme="majorEastAsia" w:cstheme="majorEastAsia"/>
                <w:color w:val="000000"/>
                <w:kern w:val="0"/>
                <w:sz w:val="21"/>
                <w:szCs w:val="21"/>
              </w:rPr>
              <w:t>成本节约率</w:t>
            </w:r>
          </w:p>
        </w:tc>
        <w:tc>
          <w:tcPr>
            <w:tcW w:w="864" w:type="dxa"/>
            <w:noWrap w:val="0"/>
            <w:vAlign w:val="center"/>
          </w:tcPr>
          <w:p w14:paraId="561B077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58" w:type="dxa"/>
            <w:noWrap w:val="0"/>
            <w:vAlign w:val="center"/>
          </w:tcPr>
          <w:p w14:paraId="21468F5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59" w:type="dxa"/>
            <w:noWrap w:val="0"/>
            <w:vAlign w:val="center"/>
          </w:tcPr>
          <w:p w14:paraId="011CEA3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950" w:type="dxa"/>
            <w:noWrap w:val="0"/>
            <w:vAlign w:val="center"/>
          </w:tcPr>
          <w:p w14:paraId="34F1FB8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913" w:type="dxa"/>
            <w:noWrap w:val="0"/>
            <w:vAlign w:val="center"/>
          </w:tcPr>
          <w:p w14:paraId="72AB013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58" w:type="dxa"/>
            <w:noWrap w:val="0"/>
            <w:vAlign w:val="center"/>
          </w:tcPr>
          <w:p w14:paraId="03B0EBF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78" w:type="dxa"/>
            <w:noWrap w:val="0"/>
            <w:vAlign w:val="center"/>
          </w:tcPr>
          <w:p w14:paraId="7F61415C">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9.4</w:t>
            </w:r>
          </w:p>
        </w:tc>
      </w:tr>
      <w:tr w14:paraId="7455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restart"/>
            <w:noWrap w:val="0"/>
            <w:vAlign w:val="center"/>
          </w:tcPr>
          <w:p w14:paraId="536AAB9C">
            <w:pPr>
              <w:widowControl/>
              <w:spacing w:line="560" w:lineRule="exact"/>
              <w:jc w:val="center"/>
              <w:rPr>
                <w:rFonts w:hint="eastAsia" w:asciiTheme="majorEastAsia" w:hAnsiTheme="majorEastAsia" w:eastAsiaTheme="majorEastAsia" w:cstheme="majorEastAsia"/>
                <w:b/>
                <w:color w:val="000000"/>
                <w:kern w:val="0"/>
                <w:sz w:val="21"/>
                <w:szCs w:val="21"/>
              </w:rPr>
            </w:pPr>
            <w:r>
              <w:rPr>
                <w:rFonts w:hint="eastAsia" w:asciiTheme="majorEastAsia" w:hAnsiTheme="majorEastAsia" w:eastAsiaTheme="majorEastAsia" w:cstheme="majorEastAsia"/>
                <w:b/>
                <w:color w:val="000000"/>
                <w:kern w:val="0"/>
                <w:sz w:val="21"/>
                <w:szCs w:val="21"/>
              </w:rPr>
              <w:t>效益</w:t>
            </w:r>
          </w:p>
          <w:p w14:paraId="76A133D6">
            <w:pPr>
              <w:widowControl/>
              <w:spacing w:line="560" w:lineRule="exact"/>
              <w:jc w:val="center"/>
              <w:rPr>
                <w:rFonts w:hint="eastAsia" w:asciiTheme="majorEastAsia" w:hAnsiTheme="majorEastAsia" w:eastAsiaTheme="majorEastAsia" w:cstheme="majorEastAsia"/>
                <w:b/>
                <w:color w:val="000000"/>
                <w:kern w:val="0"/>
                <w:sz w:val="21"/>
                <w:szCs w:val="21"/>
                <w:lang w:eastAsia="zh-CN"/>
              </w:rPr>
            </w:pPr>
            <w:r>
              <w:rPr>
                <w:rFonts w:hint="eastAsia" w:asciiTheme="majorEastAsia" w:hAnsiTheme="majorEastAsia" w:eastAsiaTheme="majorEastAsia" w:cstheme="majorEastAsia"/>
                <w:b/>
                <w:color w:val="000000"/>
                <w:kern w:val="0"/>
                <w:sz w:val="21"/>
                <w:szCs w:val="21"/>
                <w:lang w:eastAsia="zh-CN"/>
              </w:rPr>
              <w:t>（</w:t>
            </w:r>
            <w:r>
              <w:rPr>
                <w:rFonts w:hint="eastAsia" w:asciiTheme="majorEastAsia" w:hAnsiTheme="majorEastAsia" w:eastAsiaTheme="majorEastAsia" w:cstheme="majorEastAsia"/>
                <w:b/>
                <w:color w:val="000000"/>
                <w:kern w:val="0"/>
                <w:sz w:val="21"/>
                <w:szCs w:val="21"/>
                <w:lang w:val="en-US" w:eastAsia="zh-CN"/>
              </w:rPr>
              <w:t>30分</w:t>
            </w:r>
            <w:r>
              <w:rPr>
                <w:rFonts w:hint="eastAsia" w:asciiTheme="majorEastAsia" w:hAnsiTheme="majorEastAsia" w:eastAsiaTheme="majorEastAsia" w:cstheme="majorEastAsia"/>
                <w:b/>
                <w:color w:val="000000"/>
                <w:kern w:val="0"/>
                <w:sz w:val="21"/>
                <w:szCs w:val="21"/>
                <w:lang w:eastAsia="zh-CN"/>
              </w:rPr>
              <w:t>）</w:t>
            </w:r>
          </w:p>
        </w:tc>
        <w:tc>
          <w:tcPr>
            <w:tcW w:w="2008" w:type="dxa"/>
            <w:noWrap w:val="0"/>
            <w:vAlign w:val="center"/>
          </w:tcPr>
          <w:p w14:paraId="016231FB">
            <w:pPr>
              <w:spacing w:line="560" w:lineRule="exact"/>
              <w:rPr>
                <w:rFonts w:hint="eastAsia" w:asciiTheme="majorEastAsia" w:hAnsiTheme="majorEastAsia" w:eastAsiaTheme="majorEastAsia" w:cstheme="majorEastAsia"/>
                <w:b/>
                <w:color w:val="000000"/>
                <w:kern w:val="0"/>
                <w:sz w:val="21"/>
                <w:szCs w:val="21"/>
                <w:lang w:val="en-US" w:eastAsia="zh-CN" w:bidi="ar-SA"/>
              </w:rPr>
            </w:pPr>
            <w:r>
              <w:rPr>
                <w:rFonts w:hint="eastAsia" w:asciiTheme="majorEastAsia" w:hAnsiTheme="majorEastAsia" w:eastAsiaTheme="majorEastAsia" w:cstheme="majorEastAsia"/>
                <w:b/>
                <w:color w:val="000000"/>
                <w:kern w:val="0"/>
                <w:sz w:val="21"/>
                <w:szCs w:val="21"/>
              </w:rPr>
              <w:t>项目效益</w:t>
            </w:r>
          </w:p>
        </w:tc>
        <w:tc>
          <w:tcPr>
            <w:tcW w:w="864" w:type="dxa"/>
            <w:noWrap w:val="0"/>
            <w:vAlign w:val="center"/>
          </w:tcPr>
          <w:p w14:paraId="046DA84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20</w:t>
            </w:r>
          </w:p>
        </w:tc>
        <w:tc>
          <w:tcPr>
            <w:tcW w:w="858" w:type="dxa"/>
            <w:noWrap w:val="0"/>
            <w:vAlign w:val="center"/>
          </w:tcPr>
          <w:p w14:paraId="3C521D2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17</w:t>
            </w:r>
          </w:p>
        </w:tc>
        <w:tc>
          <w:tcPr>
            <w:tcW w:w="859" w:type="dxa"/>
            <w:noWrap w:val="0"/>
            <w:vAlign w:val="center"/>
          </w:tcPr>
          <w:p w14:paraId="145F85E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16</w:t>
            </w:r>
          </w:p>
        </w:tc>
        <w:tc>
          <w:tcPr>
            <w:tcW w:w="950" w:type="dxa"/>
            <w:noWrap w:val="0"/>
            <w:vAlign w:val="center"/>
          </w:tcPr>
          <w:p w14:paraId="206857E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16</w:t>
            </w:r>
          </w:p>
        </w:tc>
        <w:tc>
          <w:tcPr>
            <w:tcW w:w="913" w:type="dxa"/>
            <w:noWrap w:val="0"/>
            <w:vAlign w:val="center"/>
          </w:tcPr>
          <w:p w14:paraId="1D6E908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18</w:t>
            </w:r>
          </w:p>
        </w:tc>
        <w:tc>
          <w:tcPr>
            <w:tcW w:w="858" w:type="dxa"/>
            <w:noWrap w:val="0"/>
            <w:vAlign w:val="center"/>
          </w:tcPr>
          <w:p w14:paraId="0FF4DF6E">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16</w:t>
            </w:r>
          </w:p>
        </w:tc>
        <w:tc>
          <w:tcPr>
            <w:tcW w:w="878" w:type="dxa"/>
            <w:noWrap w:val="0"/>
            <w:vAlign w:val="center"/>
          </w:tcPr>
          <w:p w14:paraId="44D0E06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16.6</w:t>
            </w:r>
          </w:p>
        </w:tc>
      </w:tr>
      <w:tr w14:paraId="7150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50051FF7">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4AA60D11">
            <w:pPr>
              <w:spacing w:line="560" w:lineRule="exact"/>
              <w:jc w:val="center"/>
              <w:rPr>
                <w:rFonts w:hint="eastAsia" w:asciiTheme="majorEastAsia" w:hAnsiTheme="majorEastAsia" w:eastAsiaTheme="majorEastAsia" w:cstheme="majorEastAsia"/>
                <w:color w:val="000000"/>
                <w:kern w:val="0"/>
                <w:sz w:val="21"/>
                <w:szCs w:val="21"/>
                <w:lang w:val="en-US" w:eastAsia="zh-CN" w:bidi="ar-SA"/>
              </w:rPr>
            </w:pPr>
            <w:r>
              <w:rPr>
                <w:rFonts w:hint="eastAsia" w:asciiTheme="majorEastAsia" w:hAnsiTheme="majorEastAsia" w:eastAsiaTheme="majorEastAsia" w:cstheme="majorEastAsia"/>
                <w:color w:val="000000"/>
                <w:kern w:val="0"/>
                <w:sz w:val="21"/>
                <w:szCs w:val="21"/>
                <w:lang w:val="en-US" w:eastAsia="zh-CN"/>
              </w:rPr>
              <w:t>社会效益</w:t>
            </w:r>
          </w:p>
        </w:tc>
        <w:tc>
          <w:tcPr>
            <w:tcW w:w="864" w:type="dxa"/>
            <w:noWrap w:val="0"/>
            <w:vAlign w:val="center"/>
          </w:tcPr>
          <w:p w14:paraId="7363F547">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lang w:val="en-US" w:eastAsia="zh-CN"/>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58" w:type="dxa"/>
            <w:noWrap w:val="0"/>
            <w:vAlign w:val="center"/>
          </w:tcPr>
          <w:p w14:paraId="3AFBE95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859" w:type="dxa"/>
            <w:noWrap w:val="0"/>
            <w:vAlign w:val="center"/>
          </w:tcPr>
          <w:p w14:paraId="6C4EACC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950" w:type="dxa"/>
            <w:noWrap w:val="0"/>
            <w:vAlign w:val="center"/>
          </w:tcPr>
          <w:p w14:paraId="31C4F9B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913" w:type="dxa"/>
            <w:noWrap w:val="0"/>
            <w:vAlign w:val="center"/>
          </w:tcPr>
          <w:p w14:paraId="640AE1ED">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58" w:type="dxa"/>
            <w:noWrap w:val="0"/>
            <w:vAlign w:val="center"/>
          </w:tcPr>
          <w:p w14:paraId="4961CF3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878" w:type="dxa"/>
            <w:noWrap w:val="0"/>
            <w:vAlign w:val="center"/>
          </w:tcPr>
          <w:p w14:paraId="3334DC2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8.4</w:t>
            </w:r>
          </w:p>
        </w:tc>
      </w:tr>
      <w:tr w14:paraId="57DB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F3873DA">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10E82A26">
            <w:pPr>
              <w:spacing w:line="560" w:lineRule="exact"/>
              <w:jc w:val="center"/>
              <w:rPr>
                <w:rFonts w:hint="eastAsia"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color w:val="000000"/>
                <w:kern w:val="0"/>
                <w:sz w:val="21"/>
                <w:szCs w:val="21"/>
                <w:lang w:val="en-US" w:eastAsia="zh-CN"/>
              </w:rPr>
              <w:t>可持续影响</w:t>
            </w:r>
          </w:p>
        </w:tc>
        <w:tc>
          <w:tcPr>
            <w:tcW w:w="864" w:type="dxa"/>
            <w:noWrap w:val="0"/>
            <w:vAlign w:val="center"/>
          </w:tcPr>
          <w:p w14:paraId="2B5CA31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lang w:val="en-US" w:eastAsia="zh-CN"/>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58" w:type="dxa"/>
            <w:noWrap w:val="0"/>
            <w:vAlign w:val="center"/>
          </w:tcPr>
          <w:p w14:paraId="1B92EB5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59" w:type="dxa"/>
            <w:noWrap w:val="0"/>
            <w:vAlign w:val="center"/>
          </w:tcPr>
          <w:p w14:paraId="63FB270B">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950" w:type="dxa"/>
            <w:noWrap w:val="0"/>
            <w:vAlign w:val="center"/>
          </w:tcPr>
          <w:p w14:paraId="68802380">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913" w:type="dxa"/>
            <w:noWrap w:val="0"/>
            <w:vAlign w:val="center"/>
          </w:tcPr>
          <w:p w14:paraId="6BB951A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858" w:type="dxa"/>
            <w:noWrap w:val="0"/>
            <w:vAlign w:val="center"/>
          </w:tcPr>
          <w:p w14:paraId="3AE1739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w:t>
            </w:r>
          </w:p>
        </w:tc>
        <w:tc>
          <w:tcPr>
            <w:tcW w:w="878" w:type="dxa"/>
            <w:noWrap w:val="0"/>
            <w:vAlign w:val="center"/>
          </w:tcPr>
          <w:p w14:paraId="7B551BB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8.2</w:t>
            </w:r>
          </w:p>
        </w:tc>
      </w:tr>
      <w:tr w14:paraId="3BEC9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9DD2CCB">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0C737709">
            <w:pPr>
              <w:spacing w:line="560" w:lineRule="exact"/>
              <w:rPr>
                <w:rFonts w:hint="eastAsia" w:asciiTheme="majorEastAsia" w:hAnsiTheme="majorEastAsia" w:eastAsiaTheme="majorEastAsia" w:cstheme="majorEastAsia"/>
                <w:b/>
                <w:color w:val="000000"/>
                <w:kern w:val="0"/>
                <w:sz w:val="21"/>
                <w:szCs w:val="21"/>
                <w:lang w:val="en-US" w:eastAsia="zh-CN" w:bidi="ar-SA"/>
              </w:rPr>
            </w:pPr>
            <w:r>
              <w:rPr>
                <w:rFonts w:hint="eastAsia" w:asciiTheme="majorEastAsia" w:hAnsiTheme="majorEastAsia" w:eastAsiaTheme="majorEastAsia" w:cstheme="majorEastAsia"/>
                <w:b/>
                <w:color w:val="000000"/>
                <w:kern w:val="0"/>
                <w:sz w:val="21"/>
                <w:szCs w:val="21"/>
              </w:rPr>
              <w:t>满意度</w:t>
            </w:r>
          </w:p>
        </w:tc>
        <w:tc>
          <w:tcPr>
            <w:tcW w:w="864" w:type="dxa"/>
            <w:noWrap w:val="0"/>
            <w:vAlign w:val="center"/>
          </w:tcPr>
          <w:p w14:paraId="5E62B063">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lang w:val="en-US" w:eastAsia="zh-CN"/>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58" w:type="dxa"/>
            <w:noWrap w:val="0"/>
            <w:vAlign w:val="center"/>
          </w:tcPr>
          <w:p w14:paraId="050BA1F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9" w:type="dxa"/>
            <w:noWrap w:val="0"/>
            <w:vAlign w:val="center"/>
          </w:tcPr>
          <w:p w14:paraId="5F7AE26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950" w:type="dxa"/>
            <w:noWrap w:val="0"/>
            <w:vAlign w:val="center"/>
          </w:tcPr>
          <w:p w14:paraId="43BB49A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913" w:type="dxa"/>
            <w:noWrap w:val="0"/>
            <w:vAlign w:val="center"/>
          </w:tcPr>
          <w:p w14:paraId="5D14DDD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w:t>
            </w:r>
          </w:p>
        </w:tc>
        <w:tc>
          <w:tcPr>
            <w:tcW w:w="858" w:type="dxa"/>
            <w:noWrap w:val="0"/>
            <w:vAlign w:val="center"/>
          </w:tcPr>
          <w:p w14:paraId="60675F0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w:t>
            </w:r>
          </w:p>
        </w:tc>
        <w:tc>
          <w:tcPr>
            <w:tcW w:w="878" w:type="dxa"/>
            <w:noWrap w:val="0"/>
            <w:vAlign w:val="center"/>
          </w:tcPr>
          <w:p w14:paraId="0C918A95">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9.2</w:t>
            </w:r>
          </w:p>
        </w:tc>
      </w:tr>
      <w:tr w14:paraId="2828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70" w:type="dxa"/>
            <w:vMerge w:val="continue"/>
            <w:noWrap w:val="0"/>
            <w:vAlign w:val="top"/>
          </w:tcPr>
          <w:p w14:paraId="1E1C62AC">
            <w:pPr>
              <w:widowControl/>
              <w:spacing w:line="560" w:lineRule="exact"/>
              <w:jc w:val="center"/>
              <w:rPr>
                <w:rFonts w:hint="eastAsia" w:asciiTheme="majorEastAsia" w:hAnsiTheme="majorEastAsia" w:eastAsiaTheme="majorEastAsia" w:cstheme="majorEastAsia"/>
                <w:b/>
                <w:bCs/>
                <w:color w:val="000000"/>
                <w:kern w:val="0"/>
                <w:sz w:val="21"/>
                <w:szCs w:val="21"/>
              </w:rPr>
            </w:pPr>
          </w:p>
        </w:tc>
        <w:tc>
          <w:tcPr>
            <w:tcW w:w="2008" w:type="dxa"/>
            <w:noWrap w:val="0"/>
            <w:vAlign w:val="center"/>
          </w:tcPr>
          <w:p w14:paraId="07AF5D32">
            <w:pPr>
              <w:spacing w:line="560" w:lineRule="exact"/>
              <w:jc w:val="right"/>
              <w:rPr>
                <w:rFonts w:hint="eastAsia" w:asciiTheme="majorEastAsia" w:hAnsiTheme="majorEastAsia" w:eastAsiaTheme="majorEastAsia" w:cstheme="majorEastAsia"/>
                <w:b/>
                <w:color w:val="000000"/>
                <w:kern w:val="0"/>
                <w:sz w:val="21"/>
                <w:szCs w:val="21"/>
                <w:lang w:val="en-US" w:eastAsia="zh-CN"/>
              </w:rPr>
            </w:pPr>
            <w:r>
              <w:rPr>
                <w:rFonts w:hint="eastAsia" w:asciiTheme="majorEastAsia" w:hAnsiTheme="majorEastAsia" w:eastAsiaTheme="majorEastAsia" w:cstheme="majorEastAsia"/>
                <w:color w:val="000000"/>
                <w:kern w:val="0"/>
                <w:sz w:val="21"/>
                <w:szCs w:val="21"/>
                <w:lang w:val="en-US" w:eastAsia="zh-CN"/>
              </w:rPr>
              <w:t>服务对象满意度</w:t>
            </w:r>
          </w:p>
        </w:tc>
        <w:tc>
          <w:tcPr>
            <w:tcW w:w="864" w:type="dxa"/>
            <w:noWrap w:val="0"/>
            <w:vAlign w:val="center"/>
          </w:tcPr>
          <w:p w14:paraId="49897E4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lang w:val="en-US" w:eastAsia="zh-CN"/>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58" w:type="dxa"/>
            <w:noWrap w:val="0"/>
            <w:vAlign w:val="center"/>
          </w:tcPr>
          <w:p w14:paraId="27B2B24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59" w:type="dxa"/>
            <w:noWrap w:val="0"/>
            <w:vAlign w:val="center"/>
          </w:tcPr>
          <w:p w14:paraId="17E8EE99">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950" w:type="dxa"/>
            <w:noWrap w:val="0"/>
            <w:vAlign w:val="center"/>
          </w:tcPr>
          <w:p w14:paraId="1BE5AA06">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913" w:type="dxa"/>
            <w:noWrap w:val="0"/>
            <w:vAlign w:val="center"/>
          </w:tcPr>
          <w:p w14:paraId="3289782F">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w:t>
            </w:r>
          </w:p>
        </w:tc>
        <w:tc>
          <w:tcPr>
            <w:tcW w:w="858" w:type="dxa"/>
            <w:noWrap w:val="0"/>
            <w:vAlign w:val="center"/>
          </w:tcPr>
          <w:p w14:paraId="312216F1">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10</w:t>
            </w:r>
          </w:p>
        </w:tc>
        <w:tc>
          <w:tcPr>
            <w:tcW w:w="878" w:type="dxa"/>
            <w:noWrap w:val="0"/>
            <w:vAlign w:val="center"/>
          </w:tcPr>
          <w:p w14:paraId="15D928D8">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b w:val="0"/>
                <w:bCs w:val="0"/>
                <w:i w:val="0"/>
                <w:iCs w:val="0"/>
                <w:color w:val="000000"/>
                <w:kern w:val="0"/>
                <w:sz w:val="21"/>
                <w:szCs w:val="21"/>
                <w:u w:val="none"/>
                <w:lang w:val="en-US" w:eastAsia="zh-CN" w:bidi="ar"/>
              </w:rPr>
              <w:t>9.2</w:t>
            </w:r>
          </w:p>
        </w:tc>
      </w:tr>
      <w:tr w14:paraId="53C5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978" w:type="dxa"/>
            <w:gridSpan w:val="2"/>
            <w:noWrap w:val="0"/>
            <w:vAlign w:val="center"/>
          </w:tcPr>
          <w:p w14:paraId="7FBC4887">
            <w:pPr>
              <w:spacing w:line="560" w:lineRule="exact"/>
              <w:jc w:val="center"/>
              <w:rPr>
                <w:rFonts w:hint="eastAsia" w:asciiTheme="majorEastAsia" w:hAnsiTheme="majorEastAsia" w:eastAsiaTheme="majorEastAsia" w:cstheme="majorEastAsia"/>
                <w:bCs/>
                <w:color w:val="000000"/>
                <w:kern w:val="0"/>
                <w:sz w:val="21"/>
                <w:szCs w:val="21"/>
              </w:rPr>
            </w:pPr>
            <w:r>
              <w:rPr>
                <w:rFonts w:hint="eastAsia" w:asciiTheme="majorEastAsia" w:hAnsiTheme="majorEastAsia" w:eastAsiaTheme="majorEastAsia" w:cstheme="majorEastAsia"/>
                <w:b/>
                <w:sz w:val="21"/>
                <w:szCs w:val="21"/>
              </w:rPr>
              <w:t>合计</w:t>
            </w:r>
          </w:p>
        </w:tc>
        <w:tc>
          <w:tcPr>
            <w:tcW w:w="864" w:type="dxa"/>
            <w:noWrap w:val="0"/>
            <w:vAlign w:val="center"/>
          </w:tcPr>
          <w:p w14:paraId="37F6DB19">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100</w:t>
            </w:r>
          </w:p>
        </w:tc>
        <w:tc>
          <w:tcPr>
            <w:tcW w:w="858" w:type="dxa"/>
            <w:noWrap w:val="0"/>
            <w:vAlign w:val="center"/>
          </w:tcPr>
          <w:p w14:paraId="33C18F31">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88.5</w:t>
            </w:r>
          </w:p>
        </w:tc>
        <w:tc>
          <w:tcPr>
            <w:tcW w:w="859" w:type="dxa"/>
            <w:noWrap w:val="0"/>
            <w:vAlign w:val="center"/>
          </w:tcPr>
          <w:p w14:paraId="0E95DE61">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88</w:t>
            </w:r>
          </w:p>
        </w:tc>
        <w:tc>
          <w:tcPr>
            <w:tcW w:w="950" w:type="dxa"/>
            <w:noWrap w:val="0"/>
            <w:vAlign w:val="center"/>
          </w:tcPr>
          <w:p w14:paraId="656BF41B">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89.5</w:t>
            </w:r>
          </w:p>
        </w:tc>
        <w:tc>
          <w:tcPr>
            <w:tcW w:w="913" w:type="dxa"/>
            <w:noWrap w:val="0"/>
            <w:vAlign w:val="center"/>
          </w:tcPr>
          <w:p w14:paraId="269002E9">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89</w:t>
            </w:r>
          </w:p>
        </w:tc>
        <w:tc>
          <w:tcPr>
            <w:tcW w:w="858" w:type="dxa"/>
            <w:noWrap w:val="0"/>
            <w:vAlign w:val="center"/>
          </w:tcPr>
          <w:p w14:paraId="432520CA">
            <w:pPr>
              <w:keepNext w:val="0"/>
              <w:keepLines w:val="0"/>
              <w:widowControl/>
              <w:suppressLineNumbers w:val="0"/>
              <w:spacing w:line="560" w:lineRule="exact"/>
              <w:jc w:val="center"/>
              <w:textAlignment w:val="top"/>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87.5</w:t>
            </w:r>
          </w:p>
        </w:tc>
        <w:tc>
          <w:tcPr>
            <w:tcW w:w="878" w:type="dxa"/>
            <w:noWrap w:val="0"/>
            <w:vAlign w:val="center"/>
          </w:tcPr>
          <w:p w14:paraId="7CD4C304">
            <w:pPr>
              <w:keepNext w:val="0"/>
              <w:keepLines w:val="0"/>
              <w:widowControl/>
              <w:suppressLineNumbers w:val="0"/>
              <w:spacing w:line="560" w:lineRule="exact"/>
              <w:jc w:val="center"/>
              <w:textAlignment w:val="center"/>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i w:val="0"/>
                <w:iCs w:val="0"/>
                <w:color w:val="000000"/>
                <w:kern w:val="0"/>
                <w:sz w:val="21"/>
                <w:szCs w:val="21"/>
                <w:u w:val="none"/>
                <w:lang w:val="en-US" w:eastAsia="zh-CN" w:bidi="ar"/>
              </w:rPr>
              <w:t>88.5</w:t>
            </w:r>
          </w:p>
        </w:tc>
      </w:tr>
    </w:tbl>
    <w:p w14:paraId="5E008510">
      <w:pPr>
        <w:spacing w:line="560" w:lineRule="exact"/>
        <w:rPr>
          <w:vanish/>
        </w:rPr>
      </w:pPr>
    </w:p>
    <w:p w14:paraId="13BF2B35">
      <w:pPr>
        <w:spacing w:line="560" w:lineRule="exact"/>
        <w:rPr>
          <w:rFonts w:hint="eastAsia" w:ascii="黑体" w:hAnsi="黑体"/>
          <w:b/>
          <w:sz w:val="32"/>
          <w:szCs w:val="32"/>
        </w:rPr>
      </w:pPr>
      <w:r>
        <w:rPr>
          <w:rFonts w:hint="eastAsia" w:ascii="黑体" w:hAnsi="黑体"/>
          <w:b/>
          <w:sz w:val="32"/>
          <w:szCs w:val="32"/>
        </w:rPr>
        <w:br w:type="page"/>
      </w:r>
    </w:p>
    <w:p w14:paraId="24B8B552">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3" w:firstLineChars="200"/>
        <w:textAlignment w:val="auto"/>
        <w:rPr>
          <w:rFonts w:hint="eastAsia"/>
          <w:sz w:val="32"/>
          <w:szCs w:val="32"/>
        </w:rPr>
      </w:pPr>
      <w:r>
        <w:rPr>
          <w:rFonts w:hint="eastAsia" w:ascii="黑体" w:hAnsi="黑体"/>
          <w:b/>
          <w:sz w:val="32"/>
          <w:szCs w:val="32"/>
        </w:rPr>
        <w:t>二、专家评价综合意见</w:t>
      </w:r>
    </w:p>
    <w:tbl>
      <w:tblPr>
        <w:tblStyle w:val="15"/>
        <w:tblW w:w="5362"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7453"/>
      </w:tblGrid>
      <w:tr w14:paraId="5186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8" w:hRule="atLeast"/>
        </w:trPr>
        <w:tc>
          <w:tcPr>
            <w:tcW w:w="922" w:type="pct"/>
            <w:noWrap w:val="0"/>
            <w:vAlign w:val="center"/>
          </w:tcPr>
          <w:p w14:paraId="32215BD4">
            <w:pPr>
              <w:snapToGrid w:val="0"/>
              <w:spacing w:line="560" w:lineRule="exact"/>
              <w:jc w:val="center"/>
              <w:rPr>
                <w:rFonts w:ascii="宋体" w:hAnsi="宋体"/>
                <w:szCs w:val="21"/>
              </w:rPr>
            </w:pPr>
            <w:r>
              <w:rPr>
                <w:rFonts w:hint="eastAsia" w:ascii="宋体" w:hAnsi="宋体"/>
                <w:szCs w:val="21"/>
              </w:rPr>
              <w:t>评价得分</w:t>
            </w:r>
          </w:p>
        </w:tc>
        <w:tc>
          <w:tcPr>
            <w:tcW w:w="4077" w:type="pct"/>
            <w:noWrap w:val="0"/>
            <w:vAlign w:val="center"/>
          </w:tcPr>
          <w:p w14:paraId="34F43A58">
            <w:pPr>
              <w:snapToGrid w:val="0"/>
              <w:spacing w:line="560" w:lineRule="exact"/>
              <w:jc w:val="center"/>
              <w:rPr>
                <w:rFonts w:hint="default" w:ascii="宋体" w:hAnsi="宋体" w:eastAsia="宋体"/>
                <w:szCs w:val="21"/>
                <w:lang w:val="en-US" w:eastAsia="zh-CN"/>
              </w:rPr>
            </w:pPr>
            <w:r>
              <w:rPr>
                <w:rFonts w:hint="eastAsia" w:ascii="宋体" w:hAnsi="宋体"/>
                <w:szCs w:val="21"/>
                <w:lang w:val="en-US" w:eastAsia="zh-CN"/>
              </w:rPr>
              <w:t>88.5</w:t>
            </w:r>
          </w:p>
        </w:tc>
      </w:tr>
      <w:tr w14:paraId="161D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922" w:type="pct"/>
            <w:noWrap w:val="0"/>
            <w:vAlign w:val="center"/>
          </w:tcPr>
          <w:p w14:paraId="221BB362">
            <w:pPr>
              <w:snapToGrid w:val="0"/>
              <w:spacing w:line="560" w:lineRule="exact"/>
              <w:jc w:val="center"/>
              <w:rPr>
                <w:rFonts w:ascii="宋体" w:hAnsi="宋体"/>
                <w:szCs w:val="21"/>
              </w:rPr>
            </w:pPr>
            <w:r>
              <w:rPr>
                <w:rFonts w:hint="eastAsia" w:ascii="宋体" w:hAnsi="宋体"/>
                <w:szCs w:val="21"/>
              </w:rPr>
              <w:t>绩效级别</w:t>
            </w:r>
          </w:p>
        </w:tc>
        <w:tc>
          <w:tcPr>
            <w:tcW w:w="4077" w:type="pct"/>
            <w:noWrap w:val="0"/>
            <w:vAlign w:val="center"/>
          </w:tcPr>
          <w:p w14:paraId="23A2BC96">
            <w:pPr>
              <w:spacing w:line="560" w:lineRule="exact"/>
              <w:ind w:firstLine="285" w:firstLineChars="95"/>
              <w:rPr>
                <w:rFonts w:ascii="宋体" w:hAnsi="宋体" w:cs="宋体"/>
                <w:szCs w:val="21"/>
              </w:rPr>
            </w:pPr>
            <w:r>
              <w:rPr>
                <w:rFonts w:hint="eastAsia" w:ascii="宋体" w:hAnsi="宋体" w:cs="宋体"/>
                <w:szCs w:val="21"/>
              </w:rPr>
              <w:t xml:space="preserve">优(90分以上)□          </w:t>
            </w:r>
            <w:r>
              <w:rPr>
                <w:rFonts w:ascii="宋体" w:hAnsi="宋体" w:cs="宋体"/>
                <w:szCs w:val="21"/>
              </w:rPr>
              <w:t xml:space="preserve"> </w:t>
            </w:r>
            <w:r>
              <w:rPr>
                <w:rFonts w:hint="eastAsia" w:ascii="宋体" w:hAnsi="宋体" w:cs="宋体"/>
                <w:szCs w:val="21"/>
              </w:rPr>
              <w:t>良(80-90分)</w:t>
            </w:r>
            <w:r>
              <w:rPr>
                <w:rFonts w:hint="eastAsia" w:ascii="宋体" w:hAnsi="宋体" w:cs="宋体"/>
                <w:szCs w:val="21"/>
                <w:lang w:eastAsia="zh-CN"/>
              </w:rPr>
              <w:t>☑</w:t>
            </w:r>
            <w:r>
              <w:rPr>
                <w:rFonts w:hint="eastAsia" w:ascii="宋体" w:hAnsi="宋体" w:cs="宋体"/>
                <w:szCs w:val="21"/>
              </w:rPr>
              <w:t xml:space="preserve">       </w:t>
            </w:r>
          </w:p>
          <w:p w14:paraId="64D32CC9">
            <w:pPr>
              <w:spacing w:line="560" w:lineRule="exact"/>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中（60</w:t>
            </w:r>
            <w:r>
              <w:rPr>
                <w:rFonts w:ascii="宋体" w:hAnsi="宋体" w:cs="宋体"/>
                <w:szCs w:val="21"/>
              </w:rPr>
              <w:t>-</w:t>
            </w:r>
            <w:r>
              <w:rPr>
                <w:rFonts w:hint="eastAsia" w:ascii="宋体" w:hAnsi="宋体" w:cs="宋体"/>
                <w:szCs w:val="21"/>
              </w:rPr>
              <w:t>80分）□          差（60分以下）□</w:t>
            </w:r>
          </w:p>
        </w:tc>
      </w:tr>
      <w:tr w14:paraId="20046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000" w:type="pct"/>
            <w:gridSpan w:val="2"/>
            <w:noWrap w:val="0"/>
            <w:vAlign w:val="center"/>
          </w:tcPr>
          <w:p w14:paraId="34D267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问题及原因分析：</w:t>
            </w:r>
          </w:p>
          <w:p w14:paraId="21A62A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color w:val="auto"/>
                <w:kern w:val="44"/>
                <w:sz w:val="24"/>
                <w:szCs w:val="24"/>
                <w:highlight w:val="none"/>
                <w:lang w:val="en-US" w:eastAsia="zh-CN"/>
              </w:rPr>
            </w:pPr>
            <w:r>
              <w:rPr>
                <w:rFonts w:hint="eastAsia" w:ascii="仿宋_GB2312" w:hAnsi="仿宋_GB2312" w:eastAsia="仿宋_GB2312" w:cs="仿宋_GB2312"/>
                <w:b w:val="0"/>
                <w:bCs w:val="0"/>
                <w:color w:val="auto"/>
                <w:kern w:val="44"/>
                <w:sz w:val="24"/>
                <w:szCs w:val="24"/>
                <w:highlight w:val="none"/>
                <w:lang w:val="en-US" w:eastAsia="zh-CN"/>
              </w:rPr>
              <w:t>1.绩效目标设置细化程度有待进一步提升。</w:t>
            </w:r>
          </w:p>
          <w:p w14:paraId="10E0D0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color w:val="auto"/>
                <w:kern w:val="44"/>
                <w:sz w:val="24"/>
                <w:szCs w:val="24"/>
                <w:highlight w:val="none"/>
                <w:lang w:val="en-US" w:eastAsia="zh-CN"/>
              </w:rPr>
            </w:pPr>
            <w:r>
              <w:rPr>
                <w:rFonts w:hint="eastAsia" w:ascii="仿宋_GB2312" w:hAnsi="仿宋_GB2312" w:eastAsia="仿宋_GB2312" w:cs="仿宋_GB2312"/>
                <w:b w:val="0"/>
                <w:bCs w:val="0"/>
                <w:kern w:val="0"/>
                <w:sz w:val="24"/>
                <w:szCs w:val="24"/>
              </w:rPr>
              <w:t>由于产出绩效指标设置不够合理、准确、量化，且缺少计划事件安排，考核、验收依据等，产出数量与需求设置存在较大差异，产出质量达标率、完成及时性虽按期完成，但均无依据支撑。</w:t>
            </w:r>
            <w:r>
              <w:rPr>
                <w:rFonts w:hint="eastAsia" w:ascii="仿宋_GB2312" w:hAnsi="仿宋_GB2312" w:eastAsia="仿宋_GB2312" w:cs="仿宋_GB2312"/>
                <w:b w:val="0"/>
                <w:bCs w:val="0"/>
                <w:color w:val="auto"/>
                <w:kern w:val="44"/>
                <w:sz w:val="24"/>
                <w:szCs w:val="24"/>
                <w:highlight w:val="none"/>
                <w:lang w:val="en-US" w:eastAsia="zh-CN"/>
              </w:rPr>
              <w:t>如产出数量指标中设置“短片=2分钟、长片=8分钟”与采购需求3分钟和6分钟不一致；质量指标与产出内容对应性不够充分；时效指标未结合关键性时间节点进行设置。</w:t>
            </w:r>
          </w:p>
          <w:p w14:paraId="1AB33F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color w:val="auto"/>
                <w:kern w:val="44"/>
                <w:sz w:val="24"/>
                <w:szCs w:val="24"/>
                <w:highlight w:val="none"/>
                <w:lang w:val="en-US" w:eastAsia="zh-CN"/>
              </w:rPr>
            </w:pPr>
            <w:r>
              <w:rPr>
                <w:rFonts w:hint="eastAsia" w:ascii="仿宋_GB2312" w:hAnsi="仿宋_GB2312" w:eastAsia="仿宋_GB2312" w:cs="仿宋_GB2312"/>
                <w:b w:val="0"/>
                <w:bCs w:val="0"/>
                <w:color w:val="auto"/>
                <w:kern w:val="44"/>
                <w:sz w:val="24"/>
                <w:szCs w:val="24"/>
                <w:highlight w:val="none"/>
                <w:lang w:val="en-US" w:eastAsia="zh-CN"/>
              </w:rPr>
              <w:t>2.项目效果实现程度呈现不够充分。</w:t>
            </w:r>
          </w:p>
          <w:p w14:paraId="0DCB4BD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color w:val="auto"/>
                <w:kern w:val="44"/>
                <w:sz w:val="24"/>
                <w:szCs w:val="24"/>
                <w:highlight w:val="none"/>
                <w:lang w:val="en-US" w:eastAsia="zh-CN"/>
              </w:rPr>
              <w:t>项目绩效资料归集不够完整，项目绩效</w:t>
            </w:r>
            <w:r>
              <w:rPr>
                <w:rFonts w:hint="eastAsia" w:ascii="仿宋_GB2312" w:hAnsi="仿宋_GB2312" w:eastAsia="仿宋_GB2312" w:cs="仿宋_GB2312"/>
                <w:b w:val="0"/>
                <w:bCs w:val="0"/>
                <w:kern w:val="0"/>
                <w:sz w:val="24"/>
                <w:szCs w:val="24"/>
              </w:rPr>
              <w:t>呈现</w:t>
            </w:r>
            <w:r>
              <w:rPr>
                <w:rFonts w:hint="eastAsia" w:ascii="仿宋_GB2312" w:hAnsi="仿宋_GB2312" w:eastAsia="仿宋_GB2312" w:cs="仿宋_GB2312"/>
                <w:b w:val="0"/>
                <w:bCs w:val="0"/>
                <w:kern w:val="0"/>
                <w:sz w:val="24"/>
                <w:szCs w:val="24"/>
                <w:lang w:val="en-US" w:eastAsia="zh-CN"/>
              </w:rPr>
              <w:t>不够充分</w:t>
            </w:r>
            <w:r>
              <w:rPr>
                <w:rFonts w:hint="eastAsia" w:ascii="仿宋_GB2312" w:hAnsi="仿宋_GB2312" w:eastAsia="仿宋_GB2312" w:cs="仿宋_GB2312"/>
                <w:b w:val="0"/>
                <w:bCs w:val="0"/>
                <w:kern w:val="0"/>
                <w:sz w:val="24"/>
                <w:szCs w:val="24"/>
              </w:rPr>
              <w:t>。该项目</w:t>
            </w:r>
            <w:r>
              <w:rPr>
                <w:rFonts w:hint="eastAsia" w:ascii="仿宋_GB2312" w:hAnsi="仿宋_GB2312" w:eastAsia="仿宋_GB2312" w:cs="仿宋_GB2312"/>
                <w:b w:val="0"/>
                <w:bCs w:val="0"/>
                <w:kern w:val="0"/>
                <w:sz w:val="24"/>
                <w:szCs w:val="24"/>
                <w:lang w:val="en-US" w:eastAsia="zh-CN"/>
              </w:rPr>
              <w:t>虽然</w:t>
            </w:r>
            <w:r>
              <w:rPr>
                <w:rFonts w:hint="eastAsia" w:ascii="仿宋_GB2312" w:hAnsi="仿宋_GB2312" w:eastAsia="仿宋_GB2312" w:cs="仿宋_GB2312"/>
                <w:b w:val="0"/>
                <w:bCs w:val="0"/>
                <w:kern w:val="0"/>
                <w:sz w:val="24"/>
                <w:szCs w:val="24"/>
              </w:rPr>
              <w:t>有效保障了</w:t>
            </w:r>
            <w:r>
              <w:rPr>
                <w:rFonts w:hint="eastAsia" w:ascii="仿宋_GB2312" w:hAnsi="仿宋_GB2312" w:cs="仿宋_GB2312"/>
                <w:b w:val="0"/>
                <w:bCs w:val="0"/>
                <w:kern w:val="0"/>
                <w:sz w:val="24"/>
                <w:szCs w:val="24"/>
                <w:lang w:val="en-US" w:eastAsia="zh-CN"/>
              </w:rPr>
              <w:t>市投资促进中心</w:t>
            </w:r>
            <w:r>
              <w:rPr>
                <w:rFonts w:hint="eastAsia" w:ascii="仿宋_GB2312" w:hAnsi="仿宋_GB2312" w:eastAsia="仿宋_GB2312" w:cs="仿宋_GB2312"/>
                <w:b w:val="0"/>
                <w:bCs w:val="0"/>
                <w:kern w:val="0"/>
                <w:sz w:val="24"/>
                <w:szCs w:val="24"/>
                <w:lang w:val="en-US" w:eastAsia="zh-CN"/>
              </w:rPr>
              <w:t>对外招商推介活动中使用项目成果</w:t>
            </w:r>
            <w:r>
              <w:rPr>
                <w:rFonts w:hint="eastAsia" w:ascii="仿宋_GB2312" w:hAnsi="仿宋_GB2312" w:eastAsia="仿宋_GB2312" w:cs="仿宋_GB2312"/>
                <w:b w:val="0"/>
                <w:bCs w:val="0"/>
                <w:kern w:val="0"/>
                <w:sz w:val="24"/>
                <w:szCs w:val="24"/>
              </w:rPr>
              <w:t>，但对于</w:t>
            </w:r>
            <w:r>
              <w:rPr>
                <w:rFonts w:hint="eastAsia" w:ascii="仿宋_GB2312" w:hAnsi="仿宋_GB2312" w:eastAsia="仿宋_GB2312" w:cs="仿宋_GB2312"/>
                <w:b w:val="0"/>
                <w:bCs w:val="0"/>
                <w:kern w:val="0"/>
                <w:sz w:val="24"/>
                <w:szCs w:val="24"/>
                <w:lang w:val="en-US" w:eastAsia="zh-CN"/>
              </w:rPr>
              <w:t>项目管理成果证明</w:t>
            </w:r>
            <w:r>
              <w:rPr>
                <w:rFonts w:hint="eastAsia" w:ascii="仿宋_GB2312" w:hAnsi="仿宋_GB2312" w:eastAsia="仿宋_GB2312" w:cs="仿宋_GB2312"/>
                <w:b w:val="0"/>
                <w:bCs w:val="0"/>
                <w:kern w:val="0"/>
                <w:sz w:val="24"/>
                <w:szCs w:val="24"/>
              </w:rPr>
              <w:t>材料</w:t>
            </w:r>
            <w:r>
              <w:rPr>
                <w:rFonts w:hint="eastAsia" w:ascii="仿宋_GB2312" w:hAnsi="仿宋_GB2312" w:eastAsia="仿宋_GB2312" w:cs="仿宋_GB2312"/>
                <w:b w:val="0"/>
                <w:bCs w:val="0"/>
                <w:kern w:val="0"/>
                <w:sz w:val="24"/>
                <w:szCs w:val="24"/>
                <w:lang w:val="en-US" w:eastAsia="zh-CN"/>
              </w:rPr>
              <w:t>归集</w:t>
            </w:r>
            <w:r>
              <w:rPr>
                <w:rFonts w:hint="eastAsia" w:ascii="仿宋_GB2312" w:hAnsi="仿宋_GB2312" w:eastAsia="仿宋_GB2312" w:cs="仿宋_GB2312"/>
                <w:b w:val="0"/>
                <w:bCs w:val="0"/>
                <w:kern w:val="0"/>
                <w:sz w:val="24"/>
                <w:szCs w:val="24"/>
              </w:rPr>
              <w:t>较少，不足以体现项目实施的效益效果。</w:t>
            </w:r>
            <w:r>
              <w:rPr>
                <w:rFonts w:hint="eastAsia" w:ascii="仿宋_GB2312" w:hAnsi="仿宋_GB2312" w:eastAsia="仿宋_GB2312" w:cs="仿宋_GB2312"/>
                <w:b w:val="0"/>
                <w:bCs w:val="0"/>
                <w:color w:val="auto"/>
                <w:kern w:val="44"/>
                <w:sz w:val="24"/>
                <w:szCs w:val="24"/>
                <w:highlight w:val="none"/>
                <w:lang w:val="en-US" w:eastAsia="zh-CN"/>
              </w:rPr>
              <w:t>此外效益指标设定较为宽泛，通过纵向、横向比较对实现效果进行总结分析的相关资料不充分，导致项目效果实现程度呈现不够。</w:t>
            </w:r>
          </w:p>
        </w:tc>
      </w:tr>
      <w:tr w14:paraId="23AC4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000" w:type="pct"/>
            <w:gridSpan w:val="2"/>
            <w:noWrap w:val="0"/>
            <w:vAlign w:val="center"/>
          </w:tcPr>
          <w:p w14:paraId="532F2C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相关建议：</w:t>
            </w:r>
          </w:p>
          <w:p w14:paraId="7155C43F">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480" w:firstLineChars="200"/>
              <w:textAlignment w:val="auto"/>
              <w:rPr>
                <w:rFonts w:hint="eastAsia" w:ascii="仿宋_GB2312" w:hAnsi="仿宋_GB2312" w:eastAsia="仿宋_GB2312" w:cs="仿宋_GB2312"/>
                <w:b w:val="0"/>
                <w:bCs w:val="0"/>
                <w:kern w:val="44"/>
                <w:sz w:val="24"/>
                <w:szCs w:val="24"/>
                <w:lang w:val="en-US" w:eastAsia="zh-CN"/>
              </w:rPr>
            </w:pPr>
            <w:r>
              <w:rPr>
                <w:rFonts w:hint="eastAsia" w:ascii="仿宋_GB2312" w:hAnsi="仿宋_GB2312" w:eastAsia="仿宋_GB2312" w:cs="仿宋_GB2312"/>
                <w:b w:val="0"/>
                <w:bCs w:val="0"/>
                <w:kern w:val="44"/>
                <w:sz w:val="24"/>
                <w:szCs w:val="24"/>
                <w:lang w:val="en-US" w:eastAsia="zh-CN"/>
              </w:rPr>
              <w:t>1.加强绩效目标研究，科学、合理设置绩效指标</w:t>
            </w:r>
          </w:p>
          <w:p w14:paraId="6E3A4F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color w:val="auto"/>
                <w:kern w:val="44"/>
                <w:sz w:val="24"/>
                <w:szCs w:val="24"/>
                <w:highlight w:val="none"/>
                <w:lang w:val="en-US" w:eastAsia="zh-CN"/>
              </w:rPr>
            </w:pPr>
            <w:r>
              <w:rPr>
                <w:rFonts w:hint="eastAsia" w:ascii="仿宋_GB2312" w:hAnsi="仿宋_GB2312" w:eastAsia="仿宋_GB2312" w:cs="仿宋_GB2312"/>
                <w:b w:val="0"/>
                <w:bCs w:val="0"/>
                <w:color w:val="auto"/>
                <w:kern w:val="44"/>
                <w:sz w:val="24"/>
                <w:szCs w:val="24"/>
                <w:highlight w:val="none"/>
                <w:lang w:val="en-US" w:eastAsia="zh-CN"/>
              </w:rPr>
              <w:t>一方面建议结合项目总体绩效目标，合理分解并细化年度绩效目标和指标，做到重点突出、相应匹配，确保绩效目标设置为与项目实施内容及预算支出方向相符，为年度工作任务安排提供有效指引。另一方面建议强化项目需求调研论证工作，根据当年工作任务，宣传重点、宣传的技术需求等，合理测算预算，保证预算与工作任务和实施内容的匹配度和相关性；同时，加强成本控制，保证财政资金投入的合理性，与宣传效果的匹配性。</w:t>
            </w:r>
          </w:p>
          <w:p w14:paraId="6DBF7224">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480" w:firstLineChars="200"/>
              <w:textAlignment w:val="auto"/>
              <w:rPr>
                <w:rFonts w:hint="eastAsia" w:ascii="仿宋_GB2312" w:hAnsi="仿宋_GB2312" w:eastAsia="仿宋_GB2312" w:cs="仿宋_GB2312"/>
                <w:b w:val="0"/>
                <w:bCs w:val="0"/>
                <w:kern w:val="44"/>
                <w:sz w:val="24"/>
                <w:szCs w:val="24"/>
                <w:lang w:val="en-US" w:eastAsia="zh-CN"/>
              </w:rPr>
            </w:pPr>
            <w:r>
              <w:rPr>
                <w:rFonts w:hint="eastAsia" w:ascii="仿宋_GB2312" w:hAnsi="仿宋_GB2312" w:eastAsia="仿宋_GB2312" w:cs="仿宋_GB2312"/>
                <w:b w:val="0"/>
                <w:bCs w:val="0"/>
                <w:kern w:val="44"/>
                <w:sz w:val="24"/>
                <w:szCs w:val="24"/>
                <w:lang w:val="en-US" w:eastAsia="zh-CN"/>
              </w:rPr>
              <w:t>2.进一步提升项目精细化管理水平，充分体现实施效益效果</w:t>
            </w:r>
          </w:p>
          <w:p w14:paraId="5E63841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color w:val="auto"/>
                <w:kern w:val="44"/>
                <w:sz w:val="24"/>
                <w:szCs w:val="24"/>
                <w:highlight w:val="none"/>
                <w:lang w:val="en-US" w:eastAsia="zh-CN"/>
              </w:rPr>
              <w:t>建议结合项目需求，明确设置绩效目标和绩效指标，加大绩效目标的可衡量度；且系统地归纳整理项目绩效产出和效果依据，切实履行服务对象满意度调查程序，保证项目按期完成、达到预期效果。</w:t>
            </w:r>
          </w:p>
        </w:tc>
      </w:tr>
    </w:tbl>
    <w:p w14:paraId="7416D5F5">
      <w:pPr>
        <w:pStyle w:val="14"/>
        <w:keepNext w:val="0"/>
        <w:keepLines w:val="0"/>
        <w:pageBreakBefore w:val="0"/>
        <w:widowControl w:val="0"/>
        <w:kinsoku/>
        <w:wordWrap/>
        <w:overflowPunct/>
        <w:topLinePunct w:val="0"/>
        <w:autoSpaceDE/>
        <w:autoSpaceDN/>
        <w:bidi w:val="0"/>
        <w:spacing w:line="560" w:lineRule="exact"/>
        <w:rPr>
          <w:rFonts w:hint="default" w:ascii="仿宋_GB2312" w:hAnsi="仿宋_GB2312" w:eastAsia="仿宋_GB2312" w:cs="仿宋_GB2312"/>
          <w:bCs/>
          <w:color w:val="auto"/>
          <w:kern w:val="44"/>
          <w:sz w:val="32"/>
          <w:szCs w:val="32"/>
          <w:lang w:val="en-US" w:eastAsia="zh-CN"/>
        </w:rPr>
      </w:pPr>
    </w:p>
    <w:p w14:paraId="7EDAD11F">
      <w:pPr>
        <w:spacing w:line="560" w:lineRule="exact"/>
        <w:rPr>
          <w:rFonts w:hint="default"/>
          <w:lang w:val="en-US"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6F5E444-3576-4DA3-A1FA-C9CD195494B1}"/>
  </w:font>
  <w:font w:name="黑体">
    <w:panose1 w:val="02010609060101010101"/>
    <w:charset w:val="86"/>
    <w:family w:val="auto"/>
    <w:pitch w:val="default"/>
    <w:sig w:usb0="800002BF" w:usb1="38CF7CFA" w:usb2="00000016" w:usb3="00000000" w:csb0="00040001" w:csb1="00000000"/>
    <w:embedRegular r:id="rId2" w:fontKey="{7D2687AB-6E64-4D84-81DE-FEE178049E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1F42B992-EA2A-4468-B8EF-DB429980F8BD}"/>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embedRegular r:id="rId4" w:fontKey="{5D0D0061-DC50-4D66-A5CA-6333D6AF3FB3}"/>
  </w:font>
  <w:font w:name="方正小标宋简体">
    <w:altName w:val="仿宋_GB2312"/>
    <w:panose1 w:val="02010601030101010101"/>
    <w:charset w:val="86"/>
    <w:family w:val="auto"/>
    <w:pitch w:val="default"/>
    <w:sig w:usb0="00000000" w:usb1="00000000" w:usb2="00000000" w:usb3="00000000" w:csb0="00040000" w:csb1="00000000"/>
    <w:embedRegular r:id="rId5" w:fontKey="{956EAB55-CAD5-4632-A95C-98BC90AD309E}"/>
  </w:font>
  <w:font w:name="微软雅黑">
    <w:panose1 w:val="020B0503020204020204"/>
    <w:charset w:val="86"/>
    <w:family w:val="auto"/>
    <w:pitch w:val="default"/>
    <w:sig w:usb0="80000287" w:usb1="280F3C52" w:usb2="00000016" w:usb3="00000000" w:csb0="0004001F" w:csb1="00000000"/>
    <w:embedRegular r:id="rId6" w:fontKey="{D46C9FAB-8C36-419D-9B5C-02FBF167B58B}"/>
  </w:font>
  <w:font w:name="仿宋">
    <w:panose1 w:val="02010609060101010101"/>
    <w:charset w:val="86"/>
    <w:family w:val="auto"/>
    <w:pitch w:val="default"/>
    <w:sig w:usb0="800002BF" w:usb1="38CF7CFA" w:usb2="00000016" w:usb3="00000000" w:csb0="00040001" w:csb1="00000000"/>
    <w:embedRegular r:id="rId7" w:fontKey="{64C3D2DD-124F-4161-8517-12132A909A19}"/>
  </w:font>
  <w:font w:name="方正大标宋简体">
    <w:panose1 w:val="02000000000000000000"/>
    <w:charset w:val="86"/>
    <w:family w:val="auto"/>
    <w:pitch w:val="default"/>
    <w:sig w:usb0="A00002BF" w:usb1="184F6CFA" w:usb2="00000012" w:usb3="00000000" w:csb0="00040001" w:csb1="00000000"/>
    <w:embedRegular r:id="rId8" w:fontKey="{7BAB7A7E-C696-42F2-A68E-62930B7CC01A}"/>
  </w:font>
  <w:font w:name="楷体">
    <w:panose1 w:val="02010609060101010101"/>
    <w:charset w:val="86"/>
    <w:family w:val="modern"/>
    <w:pitch w:val="default"/>
    <w:sig w:usb0="800002BF" w:usb1="38CF7CFA" w:usb2="00000016" w:usb3="00000000" w:csb0="00040001" w:csb1="00000000"/>
    <w:embedRegular r:id="rId9" w:fontKey="{B2343DF8-EE8A-45EE-A0DE-7340982004A0}"/>
  </w:font>
  <w:font w:name="华文仿宋">
    <w:panose1 w:val="02010600040101010101"/>
    <w:charset w:val="86"/>
    <w:family w:val="auto"/>
    <w:pitch w:val="default"/>
    <w:sig w:usb0="00000287" w:usb1="080F0000" w:usb2="00000000" w:usb3="00000000" w:csb0="0004009F" w:csb1="DFD70000"/>
    <w:embedRegular r:id="rId10" w:fontKey="{78DB1E07-969C-4140-B38A-C5FC67A00D89}"/>
  </w:font>
  <w:font w:name="等线">
    <w:panose1 w:val="02010600030101010101"/>
    <w:charset w:val="86"/>
    <w:family w:val="auto"/>
    <w:pitch w:val="default"/>
    <w:sig w:usb0="A00002BF" w:usb1="38CF7CFA" w:usb2="00000016" w:usb3="00000000" w:csb0="0004000F" w:csb1="00000000"/>
    <w:embedRegular r:id="rId11" w:fontKey="{3D896F9D-31AE-43AB-8466-335A9C2E82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0690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E7FDC7">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3E7FDC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A930B">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2B68BA">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22B68BA">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03AD5">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2AD9D7">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62AD9D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OGQ1YmI3MDRiMmUwNzQ4ZWEwY2FlODdhMGRiZjcifQ=="/>
  </w:docVars>
  <w:rsids>
    <w:rsidRoot w:val="5F466DB1"/>
    <w:rsid w:val="005F1861"/>
    <w:rsid w:val="00704336"/>
    <w:rsid w:val="010F42CB"/>
    <w:rsid w:val="0194512F"/>
    <w:rsid w:val="02572112"/>
    <w:rsid w:val="02B20A25"/>
    <w:rsid w:val="030A39BB"/>
    <w:rsid w:val="03B3754C"/>
    <w:rsid w:val="03FC0581"/>
    <w:rsid w:val="04516A45"/>
    <w:rsid w:val="04684FDD"/>
    <w:rsid w:val="047675D8"/>
    <w:rsid w:val="0591262B"/>
    <w:rsid w:val="07465DF0"/>
    <w:rsid w:val="07F2070A"/>
    <w:rsid w:val="085E73F6"/>
    <w:rsid w:val="08847A29"/>
    <w:rsid w:val="095D7F5D"/>
    <w:rsid w:val="09E1608B"/>
    <w:rsid w:val="0BCA3494"/>
    <w:rsid w:val="0BDF704E"/>
    <w:rsid w:val="0BF508D2"/>
    <w:rsid w:val="0C382FA7"/>
    <w:rsid w:val="0C5503F9"/>
    <w:rsid w:val="0C825B1D"/>
    <w:rsid w:val="0CE909A8"/>
    <w:rsid w:val="0D2140DE"/>
    <w:rsid w:val="0E7476E7"/>
    <w:rsid w:val="0F661726"/>
    <w:rsid w:val="0FA377F7"/>
    <w:rsid w:val="103A3A1D"/>
    <w:rsid w:val="108C6F6A"/>
    <w:rsid w:val="10CE27F7"/>
    <w:rsid w:val="111449F9"/>
    <w:rsid w:val="113B6793"/>
    <w:rsid w:val="11D04F45"/>
    <w:rsid w:val="11D87F8D"/>
    <w:rsid w:val="12764C67"/>
    <w:rsid w:val="139B1A22"/>
    <w:rsid w:val="13F60B9E"/>
    <w:rsid w:val="140C183D"/>
    <w:rsid w:val="146D0E60"/>
    <w:rsid w:val="15891CCA"/>
    <w:rsid w:val="159A5426"/>
    <w:rsid w:val="15D22759"/>
    <w:rsid w:val="164910B1"/>
    <w:rsid w:val="16A55BBE"/>
    <w:rsid w:val="16AE5A61"/>
    <w:rsid w:val="17015251"/>
    <w:rsid w:val="175C3844"/>
    <w:rsid w:val="1780748D"/>
    <w:rsid w:val="17E10F3F"/>
    <w:rsid w:val="17F90C5D"/>
    <w:rsid w:val="189422DB"/>
    <w:rsid w:val="18A61F65"/>
    <w:rsid w:val="198A574B"/>
    <w:rsid w:val="19EB634F"/>
    <w:rsid w:val="1A0C4C78"/>
    <w:rsid w:val="1AB735CD"/>
    <w:rsid w:val="1B3E11C1"/>
    <w:rsid w:val="1B6E63C8"/>
    <w:rsid w:val="1B8C20A0"/>
    <w:rsid w:val="1B8C2514"/>
    <w:rsid w:val="1B92558B"/>
    <w:rsid w:val="1B967D96"/>
    <w:rsid w:val="1C13722B"/>
    <w:rsid w:val="1C485D0F"/>
    <w:rsid w:val="1C9F0025"/>
    <w:rsid w:val="1CAF4BB2"/>
    <w:rsid w:val="1D6C7B62"/>
    <w:rsid w:val="1E6C3F37"/>
    <w:rsid w:val="1E9F5BFE"/>
    <w:rsid w:val="202D76F6"/>
    <w:rsid w:val="21313216"/>
    <w:rsid w:val="216E2EB5"/>
    <w:rsid w:val="224F7DF7"/>
    <w:rsid w:val="22EC23BC"/>
    <w:rsid w:val="236549E9"/>
    <w:rsid w:val="23DF33FD"/>
    <w:rsid w:val="25290FE8"/>
    <w:rsid w:val="256052B1"/>
    <w:rsid w:val="25626093"/>
    <w:rsid w:val="25F022C7"/>
    <w:rsid w:val="26176E7E"/>
    <w:rsid w:val="26946721"/>
    <w:rsid w:val="26C62652"/>
    <w:rsid w:val="27947EAF"/>
    <w:rsid w:val="27C77D4E"/>
    <w:rsid w:val="27CB4D62"/>
    <w:rsid w:val="2804438D"/>
    <w:rsid w:val="2874680A"/>
    <w:rsid w:val="28AA132E"/>
    <w:rsid w:val="28AE5BA9"/>
    <w:rsid w:val="294A6EF0"/>
    <w:rsid w:val="29D05CC2"/>
    <w:rsid w:val="29FC4415"/>
    <w:rsid w:val="2A353B76"/>
    <w:rsid w:val="2AF65153"/>
    <w:rsid w:val="2C2E4AE9"/>
    <w:rsid w:val="2C5A5548"/>
    <w:rsid w:val="2CEA4E68"/>
    <w:rsid w:val="2DFA1D51"/>
    <w:rsid w:val="2E840313"/>
    <w:rsid w:val="2ED27DE6"/>
    <w:rsid w:val="30482637"/>
    <w:rsid w:val="30592448"/>
    <w:rsid w:val="319A4BC0"/>
    <w:rsid w:val="31A158A6"/>
    <w:rsid w:val="339637F1"/>
    <w:rsid w:val="33AA0990"/>
    <w:rsid w:val="33EF2140"/>
    <w:rsid w:val="34713E2B"/>
    <w:rsid w:val="35093AFE"/>
    <w:rsid w:val="354B5C89"/>
    <w:rsid w:val="35A34D5E"/>
    <w:rsid w:val="36A01CDA"/>
    <w:rsid w:val="379211EB"/>
    <w:rsid w:val="385F660E"/>
    <w:rsid w:val="387C260E"/>
    <w:rsid w:val="389337B5"/>
    <w:rsid w:val="3AB74666"/>
    <w:rsid w:val="3AF821C7"/>
    <w:rsid w:val="3BA35BF2"/>
    <w:rsid w:val="3BC87D04"/>
    <w:rsid w:val="3BF105E0"/>
    <w:rsid w:val="3C6978B0"/>
    <w:rsid w:val="3C9012E0"/>
    <w:rsid w:val="3D3445BC"/>
    <w:rsid w:val="3DBD1BC5"/>
    <w:rsid w:val="3DD302F6"/>
    <w:rsid w:val="3E373EA5"/>
    <w:rsid w:val="3EBE1FC4"/>
    <w:rsid w:val="3EE65D0D"/>
    <w:rsid w:val="3F570D47"/>
    <w:rsid w:val="3FE61DE6"/>
    <w:rsid w:val="3FF43FD3"/>
    <w:rsid w:val="40FB7670"/>
    <w:rsid w:val="425946D3"/>
    <w:rsid w:val="42ED4D97"/>
    <w:rsid w:val="431D412A"/>
    <w:rsid w:val="432769D0"/>
    <w:rsid w:val="437E2376"/>
    <w:rsid w:val="438541CB"/>
    <w:rsid w:val="43F42E41"/>
    <w:rsid w:val="441B3B74"/>
    <w:rsid w:val="443A04B0"/>
    <w:rsid w:val="446821D4"/>
    <w:rsid w:val="44DC5CF1"/>
    <w:rsid w:val="464456A3"/>
    <w:rsid w:val="46770DD1"/>
    <w:rsid w:val="46E1285E"/>
    <w:rsid w:val="470536E9"/>
    <w:rsid w:val="474B300D"/>
    <w:rsid w:val="47F364C0"/>
    <w:rsid w:val="482D324A"/>
    <w:rsid w:val="488717D0"/>
    <w:rsid w:val="48C9190A"/>
    <w:rsid w:val="491648AC"/>
    <w:rsid w:val="4AAC44E4"/>
    <w:rsid w:val="4ACA3C0F"/>
    <w:rsid w:val="4AF3182D"/>
    <w:rsid w:val="4B154CF0"/>
    <w:rsid w:val="4B2A129E"/>
    <w:rsid w:val="4D16138E"/>
    <w:rsid w:val="4DA51436"/>
    <w:rsid w:val="4DAF62AD"/>
    <w:rsid w:val="4E2960A9"/>
    <w:rsid w:val="4F691C49"/>
    <w:rsid w:val="4F70477C"/>
    <w:rsid w:val="4FD32C45"/>
    <w:rsid w:val="50035433"/>
    <w:rsid w:val="50A80CFF"/>
    <w:rsid w:val="50DA3711"/>
    <w:rsid w:val="50EC22AD"/>
    <w:rsid w:val="51F84215"/>
    <w:rsid w:val="523B0A65"/>
    <w:rsid w:val="52E33AC0"/>
    <w:rsid w:val="5346796B"/>
    <w:rsid w:val="53DF3ADA"/>
    <w:rsid w:val="55A85110"/>
    <w:rsid w:val="564E0571"/>
    <w:rsid w:val="57671164"/>
    <w:rsid w:val="57BB7D97"/>
    <w:rsid w:val="57EE34E3"/>
    <w:rsid w:val="58B36EF1"/>
    <w:rsid w:val="58B92183"/>
    <w:rsid w:val="59907B3C"/>
    <w:rsid w:val="5A385195"/>
    <w:rsid w:val="5AC45405"/>
    <w:rsid w:val="5AF301F0"/>
    <w:rsid w:val="5BFD3407"/>
    <w:rsid w:val="5D8F31C2"/>
    <w:rsid w:val="5F0C0AFC"/>
    <w:rsid w:val="5F466DB1"/>
    <w:rsid w:val="5F5C065D"/>
    <w:rsid w:val="5FD647AB"/>
    <w:rsid w:val="5FD8108F"/>
    <w:rsid w:val="5FFE15D8"/>
    <w:rsid w:val="603C41E4"/>
    <w:rsid w:val="60863A71"/>
    <w:rsid w:val="60FB008E"/>
    <w:rsid w:val="613B62B1"/>
    <w:rsid w:val="624200F8"/>
    <w:rsid w:val="644A3DC2"/>
    <w:rsid w:val="64877F2A"/>
    <w:rsid w:val="64B13F76"/>
    <w:rsid w:val="64DD6BC1"/>
    <w:rsid w:val="663835E8"/>
    <w:rsid w:val="676E3E49"/>
    <w:rsid w:val="678C37C4"/>
    <w:rsid w:val="68032194"/>
    <w:rsid w:val="682B1D3A"/>
    <w:rsid w:val="686D1BDD"/>
    <w:rsid w:val="68DC5DC1"/>
    <w:rsid w:val="693410C2"/>
    <w:rsid w:val="696B1365"/>
    <w:rsid w:val="69791A25"/>
    <w:rsid w:val="69EA5C8B"/>
    <w:rsid w:val="6AF11492"/>
    <w:rsid w:val="6BE56CA9"/>
    <w:rsid w:val="6BE87193"/>
    <w:rsid w:val="6BFFF610"/>
    <w:rsid w:val="6CFF5D51"/>
    <w:rsid w:val="6DC77952"/>
    <w:rsid w:val="6FCA008A"/>
    <w:rsid w:val="6FF141CD"/>
    <w:rsid w:val="70025A76"/>
    <w:rsid w:val="70920BFD"/>
    <w:rsid w:val="70B93F12"/>
    <w:rsid w:val="70BC6ADE"/>
    <w:rsid w:val="70C84B59"/>
    <w:rsid w:val="712E6BAD"/>
    <w:rsid w:val="71CB4BFC"/>
    <w:rsid w:val="72062ED0"/>
    <w:rsid w:val="723B0DCB"/>
    <w:rsid w:val="72541E8D"/>
    <w:rsid w:val="74022FF8"/>
    <w:rsid w:val="751A42AA"/>
    <w:rsid w:val="75BE0ADD"/>
    <w:rsid w:val="75DC4673"/>
    <w:rsid w:val="75EA076B"/>
    <w:rsid w:val="75EF8235"/>
    <w:rsid w:val="7655718E"/>
    <w:rsid w:val="777DE0B8"/>
    <w:rsid w:val="77AE203F"/>
    <w:rsid w:val="77AE6FFC"/>
    <w:rsid w:val="77C3576A"/>
    <w:rsid w:val="77D221D2"/>
    <w:rsid w:val="78C642A1"/>
    <w:rsid w:val="78D828BF"/>
    <w:rsid w:val="7A764B78"/>
    <w:rsid w:val="7ADF0E6C"/>
    <w:rsid w:val="7AE754E1"/>
    <w:rsid w:val="7B424F78"/>
    <w:rsid w:val="7BF924B5"/>
    <w:rsid w:val="7C19600F"/>
    <w:rsid w:val="7D0702E5"/>
    <w:rsid w:val="7E461A55"/>
    <w:rsid w:val="7E7E23E2"/>
    <w:rsid w:val="BFF14DF4"/>
    <w:rsid w:val="DFE779CC"/>
    <w:rsid w:val="FB77C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kern w:val="0"/>
      <w:sz w:val="32"/>
      <w:szCs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style>
  <w:style w:type="paragraph" w:styleId="5">
    <w:name w:val="Body Text"/>
    <w:basedOn w:val="1"/>
    <w:next w:val="6"/>
    <w:qFormat/>
    <w:uiPriority w:val="0"/>
    <w:pPr>
      <w:spacing w:after="140" w:line="276" w:lineRule="auto"/>
    </w:pPr>
  </w:style>
  <w:style w:type="paragraph" w:customStyle="1" w:styleId="6">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7">
    <w:name w:val="Body Text Indent"/>
    <w:basedOn w:val="1"/>
    <w:qFormat/>
    <w:uiPriority w:val="0"/>
    <w:pPr>
      <w:spacing w:line="360" w:lineRule="auto"/>
      <w:ind w:left="210" w:firstLine="630"/>
    </w:pPr>
    <w:rPr>
      <w:rFonts w:ascii="Times New Roman" w:hAnsi="Times New Roman" w:eastAsia="楷体_GB2312"/>
      <w:kern w:val="0"/>
      <w:sz w:val="32"/>
      <w:szCs w:val="20"/>
    </w:r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Title"/>
    <w:basedOn w:val="1"/>
    <w:next w:val="1"/>
    <w:qFormat/>
    <w:uiPriority w:val="0"/>
    <w:pPr>
      <w:spacing w:before="240" w:after="60"/>
      <w:jc w:val="center"/>
      <w:outlineLvl w:val="0"/>
    </w:pPr>
    <w:rPr>
      <w:rFonts w:ascii="Cambria" w:hAnsi="Cambria"/>
      <w:b/>
      <w:bCs/>
      <w:sz w:val="32"/>
      <w:szCs w:val="32"/>
    </w:rPr>
  </w:style>
  <w:style w:type="paragraph" w:styleId="14">
    <w:name w:val="Body Text First Indent 2"/>
    <w:basedOn w:val="7"/>
    <w:qFormat/>
    <w:uiPriority w:val="0"/>
    <w:pPr>
      <w:ind w:firstLine="420" w:firstLineChars="200"/>
    </w:p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13179</Words>
  <Characters>13896</Characters>
  <Lines>0</Lines>
  <Paragraphs>0</Paragraphs>
  <TotalTime>4</TotalTime>
  <ScaleCrop>false</ScaleCrop>
  <LinksUpToDate>false</LinksUpToDate>
  <CharactersWithSpaces>14054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2024-05-13T19:51:00Z</dcterms:created>
  <dc:creator>WH</dc:creator>
  <cp:lastModifiedBy>星星</cp:lastModifiedBy>
  <cp:lastPrinted>2024-05-22T07:58:00Z</cp:lastPrinted>
  <dcterms:modified xsi:type="dcterms:W3CDTF">2024-09-02T06:42:33Z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16B52F9C51C24F01AB3CE75C8FEBC621_13</vt:lpwstr>
  </property>
</Properties>
</file>