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C1F87C">
      <w:pPr>
        <w:keepNext w:val="0"/>
        <w:keepLines w:val="0"/>
        <w:pageBreakBefore w:val="0"/>
        <w:kinsoku/>
        <w:wordWrap/>
        <w:overflowPunct/>
        <w:topLinePunct w:val="0"/>
        <w:autoSpaceDE/>
        <w:autoSpaceDN/>
        <w:bidi w:val="0"/>
        <w:spacing w:line="560" w:lineRule="exact"/>
        <w:jc w:val="center"/>
        <w:rPr>
          <w:rFonts w:hint="eastAsia" w:ascii="微软雅黑" w:hAnsi="微软雅黑" w:eastAsia="微软雅黑" w:cs="微软雅黑"/>
          <w:sz w:val="44"/>
          <w:szCs w:val="44"/>
        </w:rPr>
      </w:pPr>
    </w:p>
    <w:p w14:paraId="7DC91D21">
      <w:pPr>
        <w:keepNext w:val="0"/>
        <w:keepLines w:val="0"/>
        <w:pageBreakBefore w:val="0"/>
        <w:kinsoku/>
        <w:wordWrap/>
        <w:overflowPunct/>
        <w:topLinePunct w:val="0"/>
        <w:autoSpaceDE/>
        <w:autoSpaceDN/>
        <w:bidi w:val="0"/>
        <w:spacing w:line="560" w:lineRule="exact"/>
        <w:jc w:val="center"/>
        <w:rPr>
          <w:rFonts w:hint="eastAsia" w:ascii="微软雅黑" w:hAnsi="微软雅黑" w:eastAsia="微软雅黑" w:cs="微软雅黑"/>
          <w:sz w:val="44"/>
          <w:szCs w:val="44"/>
        </w:rPr>
      </w:pPr>
    </w:p>
    <w:p w14:paraId="310C739E">
      <w:pPr>
        <w:keepNext w:val="0"/>
        <w:keepLines w:val="0"/>
        <w:pageBreakBefore w:val="0"/>
        <w:kinsoku/>
        <w:wordWrap/>
        <w:overflowPunct/>
        <w:topLinePunct w:val="0"/>
        <w:autoSpaceDE/>
        <w:autoSpaceDN/>
        <w:bidi w:val="0"/>
        <w:spacing w:line="560" w:lineRule="exact"/>
        <w:jc w:val="center"/>
        <w:rPr>
          <w:rFonts w:hint="eastAsia" w:ascii="微软雅黑" w:hAnsi="微软雅黑" w:eastAsia="微软雅黑" w:cs="微软雅黑"/>
          <w:sz w:val="44"/>
          <w:szCs w:val="44"/>
        </w:rPr>
      </w:pPr>
    </w:p>
    <w:p w14:paraId="089C6C81">
      <w:pPr>
        <w:keepNext w:val="0"/>
        <w:keepLines w:val="0"/>
        <w:pageBreakBefore w:val="0"/>
        <w:kinsoku/>
        <w:wordWrap/>
        <w:overflowPunct/>
        <w:topLinePunct w:val="0"/>
        <w:autoSpaceDE/>
        <w:autoSpaceDN/>
        <w:bidi w:val="0"/>
        <w:spacing w:line="560" w:lineRule="exact"/>
        <w:jc w:val="center"/>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z w:val="52"/>
          <w:szCs w:val="52"/>
        </w:rPr>
        <w:t>北京市投资促进服务中心2023年度</w:t>
      </w:r>
      <w:r>
        <w:rPr>
          <w:rFonts w:hint="eastAsia" w:ascii="方正小标宋简体" w:hAnsi="方正小标宋简体" w:eastAsia="方正小标宋简体" w:cs="方正小标宋简体"/>
          <w:sz w:val="52"/>
          <w:szCs w:val="52"/>
        </w:rPr>
        <w:br w:type="textWrapping"/>
      </w:r>
      <w:r>
        <w:rPr>
          <w:rFonts w:hint="eastAsia" w:ascii="方正小标宋简体" w:hAnsi="方正小标宋简体" w:eastAsia="方正小标宋简体" w:cs="方正小标宋简体"/>
          <w:sz w:val="52"/>
          <w:szCs w:val="52"/>
        </w:rPr>
        <w:t>部门整体绩效评价报告</w:t>
      </w:r>
    </w:p>
    <w:p w14:paraId="74517D9B">
      <w:pPr>
        <w:keepNext w:val="0"/>
        <w:keepLines w:val="0"/>
        <w:pageBreakBefore w:val="0"/>
        <w:kinsoku/>
        <w:wordWrap/>
        <w:overflowPunct/>
        <w:topLinePunct w:val="0"/>
        <w:autoSpaceDE/>
        <w:autoSpaceDN/>
        <w:bidi w:val="0"/>
        <w:spacing w:line="560" w:lineRule="exact"/>
        <w:jc w:val="center"/>
        <w:rPr>
          <w:rFonts w:hint="eastAsia" w:ascii="方正小标宋简体" w:hAnsi="方正小标宋简体" w:eastAsia="方正小标宋简体" w:cs="方正小标宋简体"/>
          <w:b w:val="0"/>
          <w:bCs w:val="0"/>
          <w:sz w:val="52"/>
          <w:szCs w:val="52"/>
        </w:rPr>
      </w:pPr>
    </w:p>
    <w:p w14:paraId="0D837783">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5136CED4">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65C87FA5">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38929EB7">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4F53B853">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551D60E3">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6F42DF5D">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424184E8">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3405BA5B">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24AE902B">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6C2E639F">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28E02494">
      <w:pPr>
        <w:keepNext w:val="0"/>
        <w:keepLines w:val="0"/>
        <w:pageBreakBefore w:val="0"/>
        <w:widowControl w:val="0"/>
        <w:kinsoku/>
        <w:wordWrap/>
        <w:overflowPunct/>
        <w:topLinePunct w:val="0"/>
        <w:autoSpaceDE/>
        <w:autoSpaceDN/>
        <w:bidi w:val="0"/>
        <w:adjustRightInd/>
        <w:snapToGrid/>
        <w:spacing w:beforeAutospacing="0" w:afterAutospacing="0" w:line="560" w:lineRule="exact"/>
        <w:jc w:val="both"/>
        <w:textAlignment w:val="auto"/>
        <w:rPr>
          <w:rFonts w:hint="eastAsia" w:ascii="Arial" w:hAnsi="Arial" w:cs="Arial"/>
          <w:b w:val="0"/>
          <w:bCs w:val="0"/>
          <w:sz w:val="32"/>
          <w:szCs w:val="32"/>
          <w:lang w:val="en-US" w:eastAsia="zh-CN"/>
        </w:rPr>
      </w:pPr>
    </w:p>
    <w:p w14:paraId="223A1B6C">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840" w:leftChars="400" w:firstLine="640" w:firstLineChars="200"/>
        <w:textAlignment w:val="auto"/>
      </w:pPr>
      <w:r>
        <w:rPr>
          <w:rFonts w:ascii="Arial" w:hAnsi="Arial" w:cs="Arial"/>
          <w:b w:val="0"/>
          <w:bCs w:val="0"/>
          <w:sz w:val="32"/>
          <w:szCs w:val="32"/>
        </w:rPr>
        <w:t>项目</w:t>
      </w:r>
      <w:r>
        <w:rPr>
          <w:rFonts w:hint="eastAsia" w:ascii="Arial" w:hAnsi="Arial" w:cs="Arial"/>
          <w:b w:val="0"/>
          <w:bCs w:val="0"/>
          <w:sz w:val="32"/>
          <w:szCs w:val="32"/>
          <w:lang w:val="en-US" w:eastAsia="zh-CN"/>
        </w:rPr>
        <w:t>部门</w:t>
      </w:r>
      <w:r>
        <w:rPr>
          <w:rFonts w:hint="eastAsia" w:ascii="Arial" w:hAnsi="Arial" w:cs="Arial"/>
          <w:b w:val="0"/>
          <w:bCs w:val="0"/>
          <w:sz w:val="32"/>
          <w:szCs w:val="32"/>
        </w:rPr>
        <w:t>：</w:t>
      </w:r>
      <w:r>
        <w:rPr>
          <w:rFonts w:hint="eastAsia" w:ascii="Arial" w:hAnsi="Arial" w:cs="Arial"/>
          <w:b w:val="0"/>
          <w:bCs w:val="0"/>
          <w:sz w:val="32"/>
          <w:szCs w:val="32"/>
          <w:lang w:val="en-US" w:eastAsia="zh-CN"/>
        </w:rPr>
        <w:t>北京市投资促进服务中心</w:t>
      </w:r>
    </w:p>
    <w:p w14:paraId="4A2C9C70">
      <w:pPr>
        <w:keepNext w:val="0"/>
        <w:keepLines w:val="0"/>
        <w:pageBreakBefore w:val="0"/>
        <w:kinsoku/>
        <w:wordWrap/>
        <w:overflowPunct/>
        <w:topLinePunct w:val="0"/>
        <w:autoSpaceDE/>
        <w:autoSpaceDN/>
        <w:bidi w:val="0"/>
        <w:spacing w:line="560" w:lineRule="exact"/>
        <w:jc w:val="center"/>
        <w:rPr>
          <w:rFonts w:hint="eastAsia" w:ascii="宋体" w:hAnsi="宋体" w:eastAsia="宋体"/>
          <w:b w:val="0"/>
          <w:bCs w:val="0"/>
          <w:sz w:val="32"/>
          <w:szCs w:val="32"/>
          <w:lang w:val="en-US" w:eastAsia="zh-CN"/>
        </w:rPr>
      </w:pPr>
      <w:r>
        <w:rPr>
          <w:rFonts w:hint="eastAsia" w:ascii="宋体" w:hAnsi="宋体" w:eastAsia="宋体"/>
          <w:b w:val="0"/>
          <w:bCs w:val="0"/>
          <w:sz w:val="32"/>
          <w:szCs w:val="32"/>
          <w:lang w:val="en-US" w:eastAsia="zh-CN"/>
        </w:rPr>
        <w:t>二零二四年五月</w:t>
      </w:r>
    </w:p>
    <w:p w14:paraId="041D20A0">
      <w:pPr>
        <w:keepNext w:val="0"/>
        <w:keepLines w:val="0"/>
        <w:pageBreakBefore w:val="0"/>
        <w:kinsoku/>
        <w:wordWrap/>
        <w:overflowPunct/>
        <w:topLinePunct w:val="0"/>
        <w:autoSpaceDE/>
        <w:autoSpaceDN/>
        <w:bidi w:val="0"/>
        <w:spacing w:line="560" w:lineRule="exact"/>
        <w:jc w:val="center"/>
        <w:rPr>
          <w:rFonts w:hint="eastAsia" w:ascii="宋体" w:hAnsi="宋体" w:eastAsia="宋体"/>
          <w:b w:val="0"/>
          <w:bCs w:val="0"/>
          <w:sz w:val="32"/>
          <w:szCs w:val="32"/>
          <w:lang w:val="en-US" w:eastAsia="zh-CN"/>
        </w:rPr>
      </w:pPr>
    </w:p>
    <w:p w14:paraId="1F163798">
      <w:pPr>
        <w:keepNext w:val="0"/>
        <w:keepLines w:val="0"/>
        <w:pageBreakBefore w:val="0"/>
        <w:kinsoku/>
        <w:wordWrap/>
        <w:overflowPunct/>
        <w:topLinePunct w:val="0"/>
        <w:autoSpaceDE/>
        <w:autoSpaceDN/>
        <w:bidi w:val="0"/>
        <w:spacing w:line="560" w:lineRule="exact"/>
        <w:jc w:val="center"/>
        <w:rPr>
          <w:rFonts w:hint="eastAsia" w:ascii="宋体" w:hAnsi="宋体" w:eastAsia="宋体"/>
          <w:b w:val="0"/>
          <w:bCs w:val="0"/>
          <w:sz w:val="32"/>
          <w:szCs w:val="32"/>
          <w:lang w:val="en-US" w:eastAsia="zh-CN"/>
        </w:rPr>
      </w:pPr>
    </w:p>
    <w:p w14:paraId="6EEED0C7">
      <w:pPr>
        <w:keepNext w:val="0"/>
        <w:keepLines w:val="0"/>
        <w:pageBreakBefore w:val="0"/>
        <w:kinsoku/>
        <w:wordWrap/>
        <w:overflowPunct/>
        <w:topLinePunct w:val="0"/>
        <w:autoSpaceDE/>
        <w:autoSpaceDN/>
        <w:bidi w:val="0"/>
        <w:spacing w:line="560" w:lineRule="exact"/>
        <w:jc w:val="center"/>
        <w:rPr>
          <w:rFonts w:hint="eastAsia" w:ascii="宋体" w:hAnsi="宋体" w:eastAsia="宋体"/>
          <w:b w:val="0"/>
          <w:bCs w:val="0"/>
          <w:sz w:val="32"/>
          <w:szCs w:val="32"/>
          <w:lang w:val="en-US" w:eastAsia="zh-CN"/>
        </w:rPr>
      </w:pPr>
    </w:p>
    <w:p w14:paraId="5584227F">
      <w:pPr>
        <w:keepNext w:val="0"/>
        <w:keepLines w:val="0"/>
        <w:pageBreakBefore w:val="0"/>
        <w:kinsoku/>
        <w:wordWrap/>
        <w:overflowPunct/>
        <w:topLinePunct w:val="0"/>
        <w:autoSpaceDE/>
        <w:autoSpaceDN/>
        <w:bidi w:val="0"/>
        <w:spacing w:line="560" w:lineRule="exact"/>
        <w:jc w:val="center"/>
        <w:rPr>
          <w:rFonts w:hint="eastAsia" w:ascii="微软雅黑" w:eastAsia="微软雅黑"/>
          <w:sz w:val="36"/>
          <w:szCs w:val="36"/>
          <w:lang w:val="en-US" w:eastAsia="zh-CN"/>
        </w:rPr>
      </w:pPr>
    </w:p>
    <w:p w14:paraId="0C604C98">
      <w:pPr>
        <w:keepNext w:val="0"/>
        <w:keepLines w:val="0"/>
        <w:pageBreakBefore w:val="0"/>
        <w:kinsoku/>
        <w:wordWrap/>
        <w:overflowPunct/>
        <w:topLinePunct w:val="0"/>
        <w:autoSpaceDE/>
        <w:autoSpaceDN/>
        <w:bidi w:val="0"/>
        <w:spacing w:line="560" w:lineRule="exact"/>
        <w:jc w:val="center"/>
        <w:rPr>
          <w:rFonts w:hint="eastAsia" w:ascii="微软雅黑" w:eastAsia="微软雅黑"/>
          <w:sz w:val="36"/>
          <w:szCs w:val="36"/>
          <w:lang w:val="en-US" w:eastAsia="zh-CN"/>
        </w:rPr>
      </w:pPr>
      <w:r>
        <w:rPr>
          <w:rFonts w:hint="eastAsia" w:ascii="微软雅黑" w:eastAsia="微软雅黑"/>
          <w:sz w:val="36"/>
          <w:szCs w:val="36"/>
          <w:lang w:val="en-US" w:eastAsia="zh-CN"/>
        </w:rPr>
        <w:t>目 录</w:t>
      </w:r>
    </w:p>
    <w:p w14:paraId="33224E19">
      <w:pPr>
        <w:pStyle w:val="7"/>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rPr>
        <w:fldChar w:fldCharType="begin"/>
      </w:r>
      <w:r>
        <w:rPr>
          <w:rFonts w:hint="eastAsia"/>
        </w:rPr>
        <w:instrText xml:space="preserve">TOC \o "1-3" \h \u </w:instrText>
      </w:r>
      <w:r>
        <w:rPr>
          <w:rFonts w:hint="eastAsia"/>
        </w:rPr>
        <w:fldChar w:fldCharType="separate"/>
      </w:r>
      <w:r>
        <w:rPr>
          <w:rFonts w:hint="eastAsia"/>
          <w:sz w:val="30"/>
          <w:szCs w:val="30"/>
        </w:rPr>
        <w:fldChar w:fldCharType="begin"/>
      </w:r>
      <w:r>
        <w:rPr>
          <w:rFonts w:hint="eastAsia"/>
          <w:sz w:val="30"/>
          <w:szCs w:val="30"/>
        </w:rPr>
        <w:instrText xml:space="preserve"> HYPERLINK \l _Toc9894 </w:instrText>
      </w:r>
      <w:r>
        <w:rPr>
          <w:rFonts w:hint="eastAsia"/>
          <w:sz w:val="30"/>
          <w:szCs w:val="30"/>
        </w:rPr>
        <w:fldChar w:fldCharType="separate"/>
      </w:r>
      <w:r>
        <w:rPr>
          <w:rFonts w:hint="eastAsia" w:ascii="黑体" w:hAnsi="黑体" w:eastAsia="黑体" w:cs="黑体"/>
          <w:sz w:val="30"/>
          <w:szCs w:val="30"/>
        </w:rPr>
        <w:t>一、部门概况</w:t>
      </w:r>
      <w:r>
        <w:rPr>
          <w:sz w:val="30"/>
          <w:szCs w:val="30"/>
        </w:rPr>
        <w:tab/>
      </w:r>
      <w:r>
        <w:rPr>
          <w:sz w:val="30"/>
          <w:szCs w:val="30"/>
        </w:rPr>
        <w:fldChar w:fldCharType="begin"/>
      </w:r>
      <w:r>
        <w:rPr>
          <w:sz w:val="30"/>
          <w:szCs w:val="30"/>
        </w:rPr>
        <w:instrText xml:space="preserve"> PAGEREF _Toc9894 \h </w:instrText>
      </w:r>
      <w:r>
        <w:rPr>
          <w:sz w:val="30"/>
          <w:szCs w:val="30"/>
        </w:rPr>
        <w:fldChar w:fldCharType="separate"/>
      </w:r>
      <w:r>
        <w:rPr>
          <w:sz w:val="30"/>
          <w:szCs w:val="30"/>
        </w:rPr>
        <w:t>1</w:t>
      </w:r>
      <w:r>
        <w:rPr>
          <w:sz w:val="30"/>
          <w:szCs w:val="30"/>
        </w:rPr>
        <w:fldChar w:fldCharType="end"/>
      </w:r>
      <w:r>
        <w:rPr>
          <w:rFonts w:hint="eastAsia"/>
          <w:sz w:val="30"/>
          <w:szCs w:val="30"/>
        </w:rPr>
        <w:fldChar w:fldCharType="end"/>
      </w:r>
    </w:p>
    <w:p w14:paraId="7E677BF0">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_Toc11410 </w:instrText>
      </w:r>
      <w:r>
        <w:rPr>
          <w:rFonts w:hint="eastAsia"/>
          <w:sz w:val="30"/>
          <w:szCs w:val="30"/>
        </w:rPr>
        <w:fldChar w:fldCharType="separate"/>
      </w:r>
      <w:r>
        <w:rPr>
          <w:rFonts w:hint="eastAsia" w:ascii="楷体_GB2312" w:hAnsi="楷体_GB2312" w:eastAsia="楷体_GB2312" w:cs="楷体_GB2312"/>
          <w:bCs/>
          <w:sz w:val="30"/>
          <w:szCs w:val="30"/>
        </w:rPr>
        <w:t>（一）机构设置及职责工作任务情况</w:t>
      </w:r>
      <w:r>
        <w:rPr>
          <w:sz w:val="30"/>
          <w:szCs w:val="30"/>
        </w:rPr>
        <w:tab/>
      </w:r>
      <w:r>
        <w:rPr>
          <w:sz w:val="30"/>
          <w:szCs w:val="30"/>
        </w:rPr>
        <w:fldChar w:fldCharType="begin"/>
      </w:r>
      <w:r>
        <w:rPr>
          <w:sz w:val="30"/>
          <w:szCs w:val="30"/>
        </w:rPr>
        <w:instrText xml:space="preserve"> PAGEREF _Toc11410 \h </w:instrText>
      </w:r>
      <w:r>
        <w:rPr>
          <w:sz w:val="30"/>
          <w:szCs w:val="30"/>
        </w:rPr>
        <w:fldChar w:fldCharType="separate"/>
      </w:r>
      <w:r>
        <w:rPr>
          <w:sz w:val="30"/>
          <w:szCs w:val="30"/>
        </w:rPr>
        <w:t>1</w:t>
      </w:r>
      <w:r>
        <w:rPr>
          <w:sz w:val="30"/>
          <w:szCs w:val="30"/>
        </w:rPr>
        <w:fldChar w:fldCharType="end"/>
      </w:r>
      <w:r>
        <w:rPr>
          <w:rFonts w:hint="eastAsia"/>
          <w:sz w:val="30"/>
          <w:szCs w:val="30"/>
        </w:rPr>
        <w:fldChar w:fldCharType="end"/>
      </w:r>
    </w:p>
    <w:p w14:paraId="28FF8686">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_Toc200 </w:instrText>
      </w:r>
      <w:r>
        <w:rPr>
          <w:rFonts w:hint="eastAsia"/>
          <w:sz w:val="30"/>
          <w:szCs w:val="30"/>
        </w:rPr>
        <w:fldChar w:fldCharType="separate"/>
      </w:r>
      <w:r>
        <w:rPr>
          <w:rFonts w:hint="eastAsia" w:ascii="楷体_GB2312" w:hAnsi="楷体_GB2312" w:eastAsia="楷体_GB2312" w:cs="楷体_GB2312"/>
          <w:bCs/>
          <w:sz w:val="30"/>
          <w:szCs w:val="30"/>
        </w:rPr>
        <w:t>（二）部门整体绩效目标设立情况</w:t>
      </w:r>
      <w:r>
        <w:rPr>
          <w:sz w:val="30"/>
          <w:szCs w:val="30"/>
        </w:rPr>
        <w:tab/>
      </w:r>
      <w:r>
        <w:rPr>
          <w:sz w:val="30"/>
          <w:szCs w:val="30"/>
        </w:rPr>
        <w:fldChar w:fldCharType="begin"/>
      </w:r>
      <w:r>
        <w:rPr>
          <w:sz w:val="30"/>
          <w:szCs w:val="30"/>
        </w:rPr>
        <w:instrText xml:space="preserve"> PAGEREF _Toc200 \h </w:instrText>
      </w:r>
      <w:r>
        <w:rPr>
          <w:sz w:val="30"/>
          <w:szCs w:val="30"/>
        </w:rPr>
        <w:fldChar w:fldCharType="separate"/>
      </w:r>
      <w:r>
        <w:rPr>
          <w:sz w:val="30"/>
          <w:szCs w:val="30"/>
        </w:rPr>
        <w:t>2</w:t>
      </w:r>
      <w:r>
        <w:rPr>
          <w:sz w:val="30"/>
          <w:szCs w:val="30"/>
        </w:rPr>
        <w:fldChar w:fldCharType="end"/>
      </w:r>
      <w:r>
        <w:rPr>
          <w:rFonts w:hint="eastAsia"/>
          <w:sz w:val="30"/>
          <w:szCs w:val="30"/>
        </w:rPr>
        <w:fldChar w:fldCharType="end"/>
      </w:r>
    </w:p>
    <w:p w14:paraId="0686AF5D">
      <w:pPr>
        <w:pStyle w:val="7"/>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_Toc6244 </w:instrText>
      </w:r>
      <w:r>
        <w:rPr>
          <w:rFonts w:hint="eastAsia"/>
          <w:sz w:val="30"/>
          <w:szCs w:val="30"/>
        </w:rPr>
        <w:fldChar w:fldCharType="separate"/>
      </w:r>
      <w:r>
        <w:rPr>
          <w:rFonts w:hint="eastAsia" w:ascii="黑体" w:hAnsi="黑体" w:eastAsia="黑体" w:cs="黑体"/>
          <w:kern w:val="0"/>
          <w:sz w:val="30"/>
          <w:szCs w:val="30"/>
        </w:rPr>
        <w:t>二、当年预算执行情况</w:t>
      </w:r>
      <w:r>
        <w:rPr>
          <w:sz w:val="30"/>
          <w:szCs w:val="30"/>
        </w:rPr>
        <w:tab/>
      </w:r>
      <w:r>
        <w:rPr>
          <w:sz w:val="30"/>
          <w:szCs w:val="30"/>
        </w:rPr>
        <w:fldChar w:fldCharType="begin"/>
      </w:r>
      <w:r>
        <w:rPr>
          <w:sz w:val="30"/>
          <w:szCs w:val="30"/>
        </w:rPr>
        <w:instrText xml:space="preserve"> PAGEREF _Toc6244 \h </w:instrText>
      </w:r>
      <w:r>
        <w:rPr>
          <w:sz w:val="30"/>
          <w:szCs w:val="30"/>
        </w:rPr>
        <w:fldChar w:fldCharType="separate"/>
      </w:r>
      <w:r>
        <w:rPr>
          <w:sz w:val="30"/>
          <w:szCs w:val="30"/>
        </w:rPr>
        <w:t>4</w:t>
      </w:r>
      <w:r>
        <w:rPr>
          <w:sz w:val="30"/>
          <w:szCs w:val="30"/>
        </w:rPr>
        <w:fldChar w:fldCharType="end"/>
      </w:r>
      <w:r>
        <w:rPr>
          <w:rFonts w:hint="eastAsia"/>
          <w:sz w:val="30"/>
          <w:szCs w:val="30"/>
        </w:rPr>
        <w:fldChar w:fldCharType="end"/>
      </w:r>
    </w:p>
    <w:p w14:paraId="325F3F03">
      <w:pPr>
        <w:pStyle w:val="7"/>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_Toc584 </w:instrText>
      </w:r>
      <w:r>
        <w:rPr>
          <w:rFonts w:hint="eastAsia"/>
          <w:sz w:val="30"/>
          <w:szCs w:val="30"/>
        </w:rPr>
        <w:fldChar w:fldCharType="separate"/>
      </w:r>
      <w:r>
        <w:rPr>
          <w:rFonts w:hint="eastAsia" w:ascii="黑体" w:hAnsi="黑体" w:eastAsia="黑体" w:cs="黑体"/>
          <w:sz w:val="30"/>
          <w:szCs w:val="30"/>
        </w:rPr>
        <w:t>三、整体绩效目标实现情况</w:t>
      </w:r>
      <w:r>
        <w:rPr>
          <w:sz w:val="30"/>
          <w:szCs w:val="30"/>
        </w:rPr>
        <w:tab/>
      </w:r>
      <w:r>
        <w:rPr>
          <w:sz w:val="30"/>
          <w:szCs w:val="30"/>
        </w:rPr>
        <w:fldChar w:fldCharType="begin"/>
      </w:r>
      <w:r>
        <w:rPr>
          <w:sz w:val="30"/>
          <w:szCs w:val="30"/>
        </w:rPr>
        <w:instrText xml:space="preserve"> PAGEREF _Toc584 \h </w:instrText>
      </w:r>
      <w:r>
        <w:rPr>
          <w:sz w:val="30"/>
          <w:szCs w:val="30"/>
        </w:rPr>
        <w:fldChar w:fldCharType="separate"/>
      </w:r>
      <w:r>
        <w:rPr>
          <w:sz w:val="30"/>
          <w:szCs w:val="30"/>
        </w:rPr>
        <w:t>4</w:t>
      </w:r>
      <w:r>
        <w:rPr>
          <w:sz w:val="30"/>
          <w:szCs w:val="30"/>
        </w:rPr>
        <w:fldChar w:fldCharType="end"/>
      </w:r>
      <w:r>
        <w:rPr>
          <w:rFonts w:hint="eastAsia"/>
          <w:sz w:val="30"/>
          <w:szCs w:val="30"/>
        </w:rPr>
        <w:fldChar w:fldCharType="end"/>
      </w:r>
    </w:p>
    <w:p w14:paraId="1EBB4378">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_Toc10782 </w:instrText>
      </w:r>
      <w:r>
        <w:rPr>
          <w:rFonts w:hint="eastAsia"/>
          <w:sz w:val="30"/>
          <w:szCs w:val="30"/>
        </w:rPr>
        <w:fldChar w:fldCharType="separate"/>
      </w:r>
      <w:r>
        <w:rPr>
          <w:rFonts w:hint="eastAsia" w:ascii="楷体_GB2312" w:hAnsi="楷体_GB2312" w:eastAsia="楷体_GB2312" w:cs="楷体_GB2312"/>
          <w:bCs/>
          <w:sz w:val="30"/>
          <w:szCs w:val="30"/>
        </w:rPr>
        <w:t>（一）产出完成情况分析</w:t>
      </w:r>
      <w:r>
        <w:rPr>
          <w:sz w:val="30"/>
          <w:szCs w:val="30"/>
        </w:rPr>
        <w:tab/>
      </w:r>
      <w:r>
        <w:rPr>
          <w:sz w:val="30"/>
          <w:szCs w:val="30"/>
        </w:rPr>
        <w:fldChar w:fldCharType="begin"/>
      </w:r>
      <w:r>
        <w:rPr>
          <w:sz w:val="30"/>
          <w:szCs w:val="30"/>
        </w:rPr>
        <w:instrText xml:space="preserve"> PAGEREF _Toc10782 \h </w:instrText>
      </w:r>
      <w:r>
        <w:rPr>
          <w:sz w:val="30"/>
          <w:szCs w:val="30"/>
        </w:rPr>
        <w:fldChar w:fldCharType="separate"/>
      </w:r>
      <w:r>
        <w:rPr>
          <w:sz w:val="30"/>
          <w:szCs w:val="30"/>
        </w:rPr>
        <w:t>4</w:t>
      </w:r>
      <w:r>
        <w:rPr>
          <w:sz w:val="30"/>
          <w:szCs w:val="30"/>
        </w:rPr>
        <w:fldChar w:fldCharType="end"/>
      </w:r>
      <w:r>
        <w:rPr>
          <w:rFonts w:hint="eastAsia"/>
          <w:sz w:val="30"/>
          <w:szCs w:val="30"/>
        </w:rPr>
        <w:fldChar w:fldCharType="end"/>
      </w:r>
    </w:p>
    <w:p w14:paraId="4B9C4104">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_Toc23306 </w:instrText>
      </w:r>
      <w:r>
        <w:rPr>
          <w:rFonts w:hint="eastAsia"/>
          <w:sz w:val="30"/>
          <w:szCs w:val="30"/>
        </w:rPr>
        <w:fldChar w:fldCharType="separate"/>
      </w:r>
      <w:r>
        <w:rPr>
          <w:rFonts w:hint="eastAsia" w:ascii="楷体_GB2312" w:hAnsi="楷体_GB2312" w:eastAsia="楷体_GB2312" w:cs="楷体_GB2312"/>
          <w:bCs/>
          <w:sz w:val="30"/>
          <w:szCs w:val="30"/>
        </w:rPr>
        <w:t>（二）效果实现情况分析</w:t>
      </w:r>
      <w:r>
        <w:rPr>
          <w:sz w:val="30"/>
          <w:szCs w:val="30"/>
        </w:rPr>
        <w:tab/>
      </w:r>
      <w:r>
        <w:rPr>
          <w:sz w:val="30"/>
          <w:szCs w:val="30"/>
        </w:rPr>
        <w:fldChar w:fldCharType="begin"/>
      </w:r>
      <w:r>
        <w:rPr>
          <w:sz w:val="30"/>
          <w:szCs w:val="30"/>
        </w:rPr>
        <w:instrText xml:space="preserve"> PAGEREF _Toc23306 \h </w:instrText>
      </w:r>
      <w:r>
        <w:rPr>
          <w:sz w:val="30"/>
          <w:szCs w:val="30"/>
        </w:rPr>
        <w:fldChar w:fldCharType="separate"/>
      </w:r>
      <w:r>
        <w:rPr>
          <w:sz w:val="30"/>
          <w:szCs w:val="30"/>
        </w:rPr>
        <w:t>7</w:t>
      </w:r>
      <w:r>
        <w:rPr>
          <w:sz w:val="30"/>
          <w:szCs w:val="30"/>
        </w:rPr>
        <w:fldChar w:fldCharType="end"/>
      </w:r>
      <w:r>
        <w:rPr>
          <w:rFonts w:hint="eastAsia"/>
          <w:sz w:val="30"/>
          <w:szCs w:val="30"/>
        </w:rPr>
        <w:fldChar w:fldCharType="end"/>
      </w:r>
    </w:p>
    <w:p w14:paraId="7568F4CA">
      <w:pPr>
        <w:pStyle w:val="7"/>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_Toc1075 </w:instrText>
      </w:r>
      <w:r>
        <w:rPr>
          <w:rFonts w:hint="eastAsia"/>
          <w:sz w:val="30"/>
          <w:szCs w:val="30"/>
        </w:rPr>
        <w:fldChar w:fldCharType="separate"/>
      </w:r>
      <w:r>
        <w:rPr>
          <w:rFonts w:hint="eastAsia" w:ascii="黑体" w:hAnsi="黑体" w:eastAsia="黑体" w:cs="黑体"/>
          <w:sz w:val="30"/>
          <w:szCs w:val="30"/>
        </w:rPr>
        <w:t>四、预算管理情况分析</w:t>
      </w:r>
      <w:r>
        <w:rPr>
          <w:sz w:val="30"/>
          <w:szCs w:val="30"/>
        </w:rPr>
        <w:tab/>
      </w:r>
      <w:r>
        <w:rPr>
          <w:sz w:val="30"/>
          <w:szCs w:val="30"/>
        </w:rPr>
        <w:fldChar w:fldCharType="begin"/>
      </w:r>
      <w:r>
        <w:rPr>
          <w:sz w:val="30"/>
          <w:szCs w:val="30"/>
        </w:rPr>
        <w:instrText xml:space="preserve"> PAGEREF _Toc1075 \h </w:instrText>
      </w:r>
      <w:r>
        <w:rPr>
          <w:sz w:val="30"/>
          <w:szCs w:val="30"/>
        </w:rPr>
        <w:fldChar w:fldCharType="separate"/>
      </w:r>
      <w:r>
        <w:rPr>
          <w:sz w:val="30"/>
          <w:szCs w:val="30"/>
        </w:rPr>
        <w:t>8</w:t>
      </w:r>
      <w:r>
        <w:rPr>
          <w:sz w:val="30"/>
          <w:szCs w:val="30"/>
        </w:rPr>
        <w:fldChar w:fldCharType="end"/>
      </w:r>
      <w:r>
        <w:rPr>
          <w:rFonts w:hint="eastAsia"/>
          <w:sz w:val="30"/>
          <w:szCs w:val="30"/>
        </w:rPr>
        <w:fldChar w:fldCharType="end"/>
      </w:r>
    </w:p>
    <w:p w14:paraId="5FD03A37">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_Toc30047 </w:instrText>
      </w:r>
      <w:r>
        <w:rPr>
          <w:rFonts w:hint="eastAsia"/>
          <w:sz w:val="30"/>
          <w:szCs w:val="30"/>
        </w:rPr>
        <w:fldChar w:fldCharType="separate"/>
      </w:r>
      <w:r>
        <w:rPr>
          <w:rFonts w:hint="eastAsia" w:ascii="楷体_GB2312" w:hAnsi="楷体_GB2312" w:eastAsia="楷体_GB2312" w:cs="楷体_GB2312"/>
          <w:bCs/>
          <w:sz w:val="30"/>
          <w:szCs w:val="30"/>
        </w:rPr>
        <w:t>（一）财务管理</w:t>
      </w:r>
      <w:r>
        <w:rPr>
          <w:sz w:val="30"/>
          <w:szCs w:val="30"/>
        </w:rPr>
        <w:tab/>
      </w:r>
      <w:r>
        <w:rPr>
          <w:sz w:val="30"/>
          <w:szCs w:val="30"/>
        </w:rPr>
        <w:fldChar w:fldCharType="begin"/>
      </w:r>
      <w:r>
        <w:rPr>
          <w:sz w:val="30"/>
          <w:szCs w:val="30"/>
        </w:rPr>
        <w:instrText xml:space="preserve"> PAGEREF _Toc30047 \h </w:instrText>
      </w:r>
      <w:r>
        <w:rPr>
          <w:sz w:val="30"/>
          <w:szCs w:val="30"/>
        </w:rPr>
        <w:fldChar w:fldCharType="separate"/>
      </w:r>
      <w:r>
        <w:rPr>
          <w:sz w:val="30"/>
          <w:szCs w:val="30"/>
        </w:rPr>
        <w:t>8</w:t>
      </w:r>
      <w:r>
        <w:rPr>
          <w:sz w:val="30"/>
          <w:szCs w:val="30"/>
        </w:rPr>
        <w:fldChar w:fldCharType="end"/>
      </w:r>
      <w:r>
        <w:rPr>
          <w:rFonts w:hint="eastAsia"/>
          <w:sz w:val="30"/>
          <w:szCs w:val="30"/>
        </w:rPr>
        <w:fldChar w:fldCharType="end"/>
      </w:r>
    </w:p>
    <w:p w14:paraId="702DCCA8">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_Toc14995 </w:instrText>
      </w:r>
      <w:r>
        <w:rPr>
          <w:rFonts w:hint="eastAsia"/>
          <w:sz w:val="30"/>
          <w:szCs w:val="30"/>
        </w:rPr>
        <w:fldChar w:fldCharType="separate"/>
      </w:r>
      <w:r>
        <w:rPr>
          <w:rFonts w:hint="eastAsia" w:ascii="楷体_GB2312" w:hAnsi="楷体_GB2312" w:eastAsia="楷体_GB2312" w:cs="楷体_GB2312"/>
          <w:bCs/>
          <w:sz w:val="30"/>
          <w:szCs w:val="30"/>
        </w:rPr>
        <w:t>（二）资产管理</w:t>
      </w:r>
      <w:r>
        <w:rPr>
          <w:sz w:val="30"/>
          <w:szCs w:val="30"/>
        </w:rPr>
        <w:tab/>
      </w:r>
      <w:r>
        <w:rPr>
          <w:sz w:val="30"/>
          <w:szCs w:val="30"/>
        </w:rPr>
        <w:fldChar w:fldCharType="begin"/>
      </w:r>
      <w:r>
        <w:rPr>
          <w:sz w:val="30"/>
          <w:szCs w:val="30"/>
        </w:rPr>
        <w:instrText xml:space="preserve"> PAGEREF _Toc14995 \h </w:instrText>
      </w:r>
      <w:r>
        <w:rPr>
          <w:sz w:val="30"/>
          <w:szCs w:val="30"/>
        </w:rPr>
        <w:fldChar w:fldCharType="separate"/>
      </w:r>
      <w:r>
        <w:rPr>
          <w:sz w:val="30"/>
          <w:szCs w:val="30"/>
        </w:rPr>
        <w:t>9</w:t>
      </w:r>
      <w:r>
        <w:rPr>
          <w:sz w:val="30"/>
          <w:szCs w:val="30"/>
        </w:rPr>
        <w:fldChar w:fldCharType="end"/>
      </w:r>
      <w:r>
        <w:rPr>
          <w:rFonts w:hint="eastAsia"/>
          <w:sz w:val="30"/>
          <w:szCs w:val="30"/>
        </w:rPr>
        <w:fldChar w:fldCharType="end"/>
      </w:r>
    </w:p>
    <w:p w14:paraId="11017A4F">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_Toc17598 </w:instrText>
      </w:r>
      <w:r>
        <w:rPr>
          <w:rFonts w:hint="eastAsia"/>
          <w:sz w:val="30"/>
          <w:szCs w:val="30"/>
        </w:rPr>
        <w:fldChar w:fldCharType="separate"/>
      </w:r>
      <w:r>
        <w:rPr>
          <w:rFonts w:hint="eastAsia" w:ascii="楷体_GB2312" w:hAnsi="楷体_GB2312" w:eastAsia="楷体_GB2312" w:cs="楷体_GB2312"/>
          <w:bCs/>
          <w:sz w:val="30"/>
          <w:szCs w:val="30"/>
        </w:rPr>
        <w:t>（三）绩效管理</w:t>
      </w:r>
      <w:r>
        <w:rPr>
          <w:sz w:val="30"/>
          <w:szCs w:val="30"/>
        </w:rPr>
        <w:tab/>
      </w:r>
      <w:r>
        <w:rPr>
          <w:sz w:val="30"/>
          <w:szCs w:val="30"/>
        </w:rPr>
        <w:fldChar w:fldCharType="begin"/>
      </w:r>
      <w:r>
        <w:rPr>
          <w:sz w:val="30"/>
          <w:szCs w:val="30"/>
        </w:rPr>
        <w:instrText xml:space="preserve"> PAGEREF _Toc17598 \h </w:instrText>
      </w:r>
      <w:r>
        <w:rPr>
          <w:sz w:val="30"/>
          <w:szCs w:val="30"/>
        </w:rPr>
        <w:fldChar w:fldCharType="separate"/>
      </w:r>
      <w:r>
        <w:rPr>
          <w:sz w:val="30"/>
          <w:szCs w:val="30"/>
        </w:rPr>
        <w:t>9</w:t>
      </w:r>
      <w:r>
        <w:rPr>
          <w:sz w:val="30"/>
          <w:szCs w:val="30"/>
        </w:rPr>
        <w:fldChar w:fldCharType="end"/>
      </w:r>
      <w:r>
        <w:rPr>
          <w:rFonts w:hint="eastAsia"/>
          <w:sz w:val="30"/>
          <w:szCs w:val="30"/>
        </w:rPr>
        <w:fldChar w:fldCharType="end"/>
      </w:r>
    </w:p>
    <w:p w14:paraId="16624E3F">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_Toc27929 </w:instrText>
      </w:r>
      <w:r>
        <w:rPr>
          <w:rFonts w:hint="eastAsia"/>
          <w:sz w:val="30"/>
          <w:szCs w:val="30"/>
        </w:rPr>
        <w:fldChar w:fldCharType="separate"/>
      </w:r>
      <w:r>
        <w:rPr>
          <w:rFonts w:hint="eastAsia" w:ascii="楷体_GB2312" w:hAnsi="楷体_GB2312" w:eastAsia="楷体_GB2312" w:cs="楷体_GB2312"/>
          <w:bCs/>
          <w:sz w:val="30"/>
          <w:szCs w:val="30"/>
        </w:rPr>
        <w:t>（四）结转结余率</w:t>
      </w:r>
      <w:r>
        <w:rPr>
          <w:sz w:val="30"/>
          <w:szCs w:val="30"/>
        </w:rPr>
        <w:tab/>
      </w:r>
      <w:r>
        <w:rPr>
          <w:sz w:val="30"/>
          <w:szCs w:val="30"/>
        </w:rPr>
        <w:fldChar w:fldCharType="begin"/>
      </w:r>
      <w:r>
        <w:rPr>
          <w:sz w:val="30"/>
          <w:szCs w:val="30"/>
        </w:rPr>
        <w:instrText xml:space="preserve"> PAGEREF _Toc27929 \h </w:instrText>
      </w:r>
      <w:r>
        <w:rPr>
          <w:sz w:val="30"/>
          <w:szCs w:val="30"/>
        </w:rPr>
        <w:fldChar w:fldCharType="separate"/>
      </w:r>
      <w:r>
        <w:rPr>
          <w:sz w:val="30"/>
          <w:szCs w:val="30"/>
        </w:rPr>
        <w:t>10</w:t>
      </w:r>
      <w:r>
        <w:rPr>
          <w:sz w:val="30"/>
          <w:szCs w:val="30"/>
        </w:rPr>
        <w:fldChar w:fldCharType="end"/>
      </w:r>
      <w:r>
        <w:rPr>
          <w:rFonts w:hint="eastAsia"/>
          <w:sz w:val="30"/>
          <w:szCs w:val="30"/>
        </w:rPr>
        <w:fldChar w:fldCharType="end"/>
      </w:r>
    </w:p>
    <w:p w14:paraId="007706C9">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_Toc25321 </w:instrText>
      </w:r>
      <w:r>
        <w:rPr>
          <w:rFonts w:hint="eastAsia"/>
          <w:sz w:val="30"/>
          <w:szCs w:val="30"/>
        </w:rPr>
        <w:fldChar w:fldCharType="separate"/>
      </w:r>
      <w:r>
        <w:rPr>
          <w:rFonts w:hint="eastAsia" w:ascii="楷体_GB2312" w:hAnsi="楷体_GB2312" w:eastAsia="楷体_GB2312" w:cs="楷体_GB2312"/>
          <w:bCs/>
          <w:sz w:val="30"/>
          <w:szCs w:val="30"/>
        </w:rPr>
        <w:t>（五）部门预决算差异率</w:t>
      </w:r>
      <w:r>
        <w:rPr>
          <w:sz w:val="30"/>
          <w:szCs w:val="30"/>
        </w:rPr>
        <w:tab/>
      </w:r>
      <w:r>
        <w:rPr>
          <w:sz w:val="30"/>
          <w:szCs w:val="30"/>
        </w:rPr>
        <w:fldChar w:fldCharType="begin"/>
      </w:r>
      <w:r>
        <w:rPr>
          <w:sz w:val="30"/>
          <w:szCs w:val="30"/>
        </w:rPr>
        <w:instrText xml:space="preserve"> PAGEREF _Toc25321 \h </w:instrText>
      </w:r>
      <w:r>
        <w:rPr>
          <w:sz w:val="30"/>
          <w:szCs w:val="30"/>
        </w:rPr>
        <w:fldChar w:fldCharType="separate"/>
      </w:r>
      <w:r>
        <w:rPr>
          <w:sz w:val="30"/>
          <w:szCs w:val="30"/>
        </w:rPr>
        <w:t>11</w:t>
      </w:r>
      <w:r>
        <w:rPr>
          <w:sz w:val="30"/>
          <w:szCs w:val="30"/>
        </w:rPr>
        <w:fldChar w:fldCharType="end"/>
      </w:r>
      <w:r>
        <w:rPr>
          <w:rFonts w:hint="eastAsia"/>
          <w:sz w:val="30"/>
          <w:szCs w:val="30"/>
        </w:rPr>
        <w:fldChar w:fldCharType="end"/>
      </w:r>
    </w:p>
    <w:p w14:paraId="06390A7A">
      <w:pPr>
        <w:pStyle w:val="7"/>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_Toc10883 </w:instrText>
      </w:r>
      <w:r>
        <w:rPr>
          <w:rFonts w:hint="eastAsia"/>
          <w:sz w:val="30"/>
          <w:szCs w:val="30"/>
        </w:rPr>
        <w:fldChar w:fldCharType="separate"/>
      </w:r>
      <w:r>
        <w:rPr>
          <w:rFonts w:hint="eastAsia" w:ascii="黑体" w:hAnsi="黑体" w:eastAsia="黑体" w:cs="黑体"/>
          <w:sz w:val="30"/>
          <w:szCs w:val="30"/>
        </w:rPr>
        <w:t>五、总体评价结论</w:t>
      </w:r>
      <w:r>
        <w:rPr>
          <w:sz w:val="30"/>
          <w:szCs w:val="30"/>
        </w:rPr>
        <w:tab/>
      </w:r>
      <w:r>
        <w:rPr>
          <w:sz w:val="30"/>
          <w:szCs w:val="30"/>
        </w:rPr>
        <w:fldChar w:fldCharType="begin"/>
      </w:r>
      <w:r>
        <w:rPr>
          <w:sz w:val="30"/>
          <w:szCs w:val="30"/>
        </w:rPr>
        <w:instrText xml:space="preserve"> PAGEREF _Toc10883 \h </w:instrText>
      </w:r>
      <w:r>
        <w:rPr>
          <w:sz w:val="30"/>
          <w:szCs w:val="30"/>
        </w:rPr>
        <w:fldChar w:fldCharType="separate"/>
      </w:r>
      <w:r>
        <w:rPr>
          <w:sz w:val="30"/>
          <w:szCs w:val="30"/>
        </w:rPr>
        <w:t>11</w:t>
      </w:r>
      <w:r>
        <w:rPr>
          <w:sz w:val="30"/>
          <w:szCs w:val="30"/>
        </w:rPr>
        <w:fldChar w:fldCharType="end"/>
      </w:r>
      <w:r>
        <w:rPr>
          <w:rFonts w:hint="eastAsia"/>
          <w:sz w:val="30"/>
          <w:szCs w:val="30"/>
        </w:rPr>
        <w:fldChar w:fldCharType="end"/>
      </w:r>
    </w:p>
    <w:p w14:paraId="73B697AC">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_Toc14213 </w:instrText>
      </w:r>
      <w:r>
        <w:rPr>
          <w:rFonts w:hint="eastAsia"/>
          <w:sz w:val="30"/>
          <w:szCs w:val="30"/>
        </w:rPr>
        <w:fldChar w:fldCharType="separate"/>
      </w:r>
      <w:r>
        <w:rPr>
          <w:rFonts w:hint="eastAsia" w:ascii="楷体_GB2312" w:hAnsi="楷体_GB2312" w:eastAsia="楷体_GB2312" w:cs="楷体_GB2312"/>
          <w:bCs/>
          <w:sz w:val="30"/>
          <w:szCs w:val="30"/>
        </w:rPr>
        <w:t>（一）评价得分情况</w:t>
      </w:r>
      <w:r>
        <w:rPr>
          <w:sz w:val="30"/>
          <w:szCs w:val="30"/>
        </w:rPr>
        <w:tab/>
      </w:r>
      <w:r>
        <w:rPr>
          <w:sz w:val="30"/>
          <w:szCs w:val="30"/>
        </w:rPr>
        <w:fldChar w:fldCharType="begin"/>
      </w:r>
      <w:r>
        <w:rPr>
          <w:sz w:val="30"/>
          <w:szCs w:val="30"/>
        </w:rPr>
        <w:instrText xml:space="preserve"> PAGEREF _Toc14213 \h </w:instrText>
      </w:r>
      <w:r>
        <w:rPr>
          <w:sz w:val="30"/>
          <w:szCs w:val="30"/>
        </w:rPr>
        <w:fldChar w:fldCharType="separate"/>
      </w:r>
      <w:r>
        <w:rPr>
          <w:sz w:val="30"/>
          <w:szCs w:val="30"/>
        </w:rPr>
        <w:t>11</w:t>
      </w:r>
      <w:r>
        <w:rPr>
          <w:sz w:val="30"/>
          <w:szCs w:val="30"/>
        </w:rPr>
        <w:fldChar w:fldCharType="end"/>
      </w:r>
      <w:r>
        <w:rPr>
          <w:rFonts w:hint="eastAsia"/>
          <w:sz w:val="30"/>
          <w:szCs w:val="30"/>
        </w:rPr>
        <w:fldChar w:fldCharType="end"/>
      </w:r>
    </w:p>
    <w:p w14:paraId="23DEADB2">
      <w:pPr>
        <w:pStyle w:val="8"/>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_Toc2114 </w:instrText>
      </w:r>
      <w:r>
        <w:rPr>
          <w:rFonts w:hint="eastAsia"/>
          <w:sz w:val="30"/>
          <w:szCs w:val="30"/>
        </w:rPr>
        <w:fldChar w:fldCharType="separate"/>
      </w:r>
      <w:r>
        <w:rPr>
          <w:rFonts w:hint="eastAsia" w:ascii="楷体_GB2312" w:hAnsi="楷体_GB2312" w:eastAsia="楷体_GB2312" w:cs="楷体_GB2312"/>
          <w:bCs/>
          <w:sz w:val="30"/>
          <w:szCs w:val="30"/>
        </w:rPr>
        <w:t>（二）存在的问题及原因分析</w:t>
      </w:r>
      <w:r>
        <w:rPr>
          <w:sz w:val="30"/>
          <w:szCs w:val="30"/>
        </w:rPr>
        <w:tab/>
      </w:r>
      <w:r>
        <w:rPr>
          <w:sz w:val="30"/>
          <w:szCs w:val="30"/>
        </w:rPr>
        <w:fldChar w:fldCharType="begin"/>
      </w:r>
      <w:r>
        <w:rPr>
          <w:sz w:val="30"/>
          <w:szCs w:val="30"/>
        </w:rPr>
        <w:instrText xml:space="preserve"> PAGEREF _Toc2114 \h </w:instrText>
      </w:r>
      <w:r>
        <w:rPr>
          <w:sz w:val="30"/>
          <w:szCs w:val="30"/>
        </w:rPr>
        <w:fldChar w:fldCharType="separate"/>
      </w:r>
      <w:r>
        <w:rPr>
          <w:sz w:val="30"/>
          <w:szCs w:val="30"/>
        </w:rPr>
        <w:t>12</w:t>
      </w:r>
      <w:r>
        <w:rPr>
          <w:sz w:val="30"/>
          <w:szCs w:val="30"/>
        </w:rPr>
        <w:fldChar w:fldCharType="end"/>
      </w:r>
      <w:r>
        <w:rPr>
          <w:rFonts w:hint="eastAsia"/>
          <w:sz w:val="30"/>
          <w:szCs w:val="30"/>
        </w:rPr>
        <w:fldChar w:fldCharType="end"/>
      </w:r>
    </w:p>
    <w:p w14:paraId="49F268B0">
      <w:pPr>
        <w:pStyle w:val="7"/>
        <w:keepNext w:val="0"/>
        <w:keepLines w:val="0"/>
        <w:pageBreakBefore w:val="0"/>
        <w:tabs>
          <w:tab w:val="right" w:leader="dot" w:pos="8306"/>
        </w:tabs>
        <w:kinsoku/>
        <w:wordWrap/>
        <w:overflowPunct/>
        <w:topLinePunct w:val="0"/>
        <w:autoSpaceDE/>
        <w:autoSpaceDN/>
        <w:bidi w:val="0"/>
        <w:spacing w:line="560" w:lineRule="exact"/>
        <w:rPr>
          <w:sz w:val="30"/>
          <w:szCs w:val="30"/>
        </w:rPr>
      </w:pPr>
      <w:r>
        <w:rPr>
          <w:rFonts w:hint="eastAsia"/>
          <w:sz w:val="30"/>
          <w:szCs w:val="30"/>
        </w:rPr>
        <w:fldChar w:fldCharType="begin"/>
      </w:r>
      <w:r>
        <w:rPr>
          <w:rFonts w:hint="eastAsia"/>
          <w:sz w:val="30"/>
          <w:szCs w:val="30"/>
        </w:rPr>
        <w:instrText xml:space="preserve"> HYPERLINK \l _Toc1330 </w:instrText>
      </w:r>
      <w:r>
        <w:rPr>
          <w:rFonts w:hint="eastAsia"/>
          <w:sz w:val="30"/>
          <w:szCs w:val="30"/>
        </w:rPr>
        <w:fldChar w:fldCharType="separate"/>
      </w:r>
      <w:r>
        <w:rPr>
          <w:rFonts w:hint="eastAsia" w:ascii="黑体" w:hAnsi="黑体" w:eastAsia="黑体" w:cs="黑体"/>
          <w:sz w:val="30"/>
          <w:szCs w:val="30"/>
        </w:rPr>
        <w:t>六、措施建议</w:t>
      </w:r>
      <w:r>
        <w:rPr>
          <w:sz w:val="30"/>
          <w:szCs w:val="30"/>
        </w:rPr>
        <w:tab/>
      </w:r>
      <w:r>
        <w:rPr>
          <w:sz w:val="30"/>
          <w:szCs w:val="30"/>
        </w:rPr>
        <w:fldChar w:fldCharType="begin"/>
      </w:r>
      <w:r>
        <w:rPr>
          <w:sz w:val="30"/>
          <w:szCs w:val="30"/>
        </w:rPr>
        <w:instrText xml:space="preserve"> PAGEREF _Toc1330 \h </w:instrText>
      </w:r>
      <w:r>
        <w:rPr>
          <w:sz w:val="30"/>
          <w:szCs w:val="30"/>
        </w:rPr>
        <w:fldChar w:fldCharType="separate"/>
      </w:r>
      <w:r>
        <w:rPr>
          <w:sz w:val="30"/>
          <w:szCs w:val="30"/>
        </w:rPr>
        <w:t>13</w:t>
      </w:r>
      <w:r>
        <w:rPr>
          <w:sz w:val="30"/>
          <w:szCs w:val="30"/>
        </w:rPr>
        <w:fldChar w:fldCharType="end"/>
      </w:r>
      <w:r>
        <w:rPr>
          <w:rFonts w:hint="eastAsia"/>
          <w:sz w:val="30"/>
          <w:szCs w:val="30"/>
        </w:rPr>
        <w:fldChar w:fldCharType="end"/>
      </w:r>
    </w:p>
    <w:p w14:paraId="759BCCC0">
      <w:pPr>
        <w:pStyle w:val="7"/>
        <w:keepNext w:val="0"/>
        <w:keepLines w:val="0"/>
        <w:pageBreakBefore w:val="0"/>
        <w:tabs>
          <w:tab w:val="right" w:leader="dot" w:pos="8306"/>
        </w:tabs>
        <w:kinsoku/>
        <w:wordWrap/>
        <w:overflowPunct/>
        <w:topLinePunct w:val="0"/>
        <w:autoSpaceDE/>
        <w:autoSpaceDN/>
        <w:bidi w:val="0"/>
        <w:spacing w:line="560" w:lineRule="exact"/>
      </w:pPr>
      <w:r>
        <w:rPr>
          <w:rFonts w:hint="eastAsia"/>
          <w:sz w:val="30"/>
          <w:szCs w:val="30"/>
        </w:rPr>
        <w:fldChar w:fldCharType="begin"/>
      </w:r>
      <w:r>
        <w:rPr>
          <w:rFonts w:hint="eastAsia"/>
          <w:sz w:val="30"/>
          <w:szCs w:val="30"/>
        </w:rPr>
        <w:instrText xml:space="preserve"> HYPERLINK \l _Toc17642 </w:instrText>
      </w:r>
      <w:r>
        <w:rPr>
          <w:rFonts w:hint="eastAsia"/>
          <w:sz w:val="30"/>
          <w:szCs w:val="30"/>
        </w:rPr>
        <w:fldChar w:fldCharType="separate"/>
      </w:r>
      <w:r>
        <w:rPr>
          <w:rFonts w:hint="eastAsia" w:ascii="黑体" w:hAnsi="黑体" w:eastAsia="黑体" w:cs="黑体"/>
          <w:sz w:val="30"/>
          <w:szCs w:val="30"/>
        </w:rPr>
        <w:t>七、附件</w:t>
      </w:r>
      <w:r>
        <w:rPr>
          <w:sz w:val="30"/>
          <w:szCs w:val="30"/>
        </w:rPr>
        <w:tab/>
      </w:r>
      <w:r>
        <w:rPr>
          <w:sz w:val="30"/>
          <w:szCs w:val="30"/>
        </w:rPr>
        <w:fldChar w:fldCharType="begin"/>
      </w:r>
      <w:r>
        <w:rPr>
          <w:sz w:val="30"/>
          <w:szCs w:val="30"/>
        </w:rPr>
        <w:instrText xml:space="preserve"> PAGEREF _Toc17642 \h </w:instrText>
      </w:r>
      <w:r>
        <w:rPr>
          <w:sz w:val="30"/>
          <w:szCs w:val="30"/>
        </w:rPr>
        <w:fldChar w:fldCharType="separate"/>
      </w:r>
      <w:r>
        <w:rPr>
          <w:sz w:val="30"/>
          <w:szCs w:val="30"/>
        </w:rPr>
        <w:t>14</w:t>
      </w:r>
      <w:r>
        <w:rPr>
          <w:sz w:val="30"/>
          <w:szCs w:val="30"/>
        </w:rPr>
        <w:fldChar w:fldCharType="end"/>
      </w:r>
      <w:r>
        <w:rPr>
          <w:rFonts w:hint="eastAsia"/>
          <w:sz w:val="30"/>
          <w:szCs w:val="30"/>
        </w:rPr>
        <w:fldChar w:fldCharType="end"/>
      </w:r>
    </w:p>
    <w:p w14:paraId="2C2AB595">
      <w:pPr>
        <w:pStyle w:val="14"/>
        <w:keepNext w:val="0"/>
        <w:keepLines w:val="0"/>
        <w:pageBreakBefore w:val="0"/>
        <w:kinsoku/>
        <w:wordWrap/>
        <w:overflowPunct/>
        <w:topLinePunct w:val="0"/>
        <w:autoSpaceDE/>
        <w:autoSpaceDN/>
        <w:bidi w:val="0"/>
        <w:spacing w:line="560" w:lineRule="exact"/>
        <w:rPr>
          <w:rFonts w:hint="eastAsia"/>
        </w:rPr>
      </w:pPr>
      <w:r>
        <w:rPr>
          <w:rFonts w:hint="eastAsia"/>
        </w:rPr>
        <w:fldChar w:fldCharType="end"/>
      </w:r>
    </w:p>
    <w:p w14:paraId="01282B9E">
      <w:pPr>
        <w:keepNext w:val="0"/>
        <w:keepLines w:val="0"/>
        <w:pageBreakBefore w:val="0"/>
        <w:kinsoku/>
        <w:wordWrap/>
        <w:overflowPunct/>
        <w:topLinePunct w:val="0"/>
        <w:autoSpaceDE/>
        <w:autoSpaceDN/>
        <w:bidi w:val="0"/>
        <w:spacing w:line="560" w:lineRule="exact"/>
        <w:jc w:val="center"/>
        <w:rPr>
          <w:rFonts w:hint="eastAsia" w:ascii="微软雅黑" w:eastAsia="微软雅黑"/>
          <w:sz w:val="36"/>
          <w:szCs w:val="36"/>
        </w:rPr>
        <w:sectPr>
          <w:pgSz w:w="11906" w:h="16838"/>
          <w:pgMar w:top="1440" w:right="1800" w:bottom="1440" w:left="1800" w:header="851" w:footer="992" w:gutter="0"/>
          <w:cols w:space="425" w:num="1"/>
          <w:docGrid w:type="lines" w:linePitch="312" w:charSpace="0"/>
        </w:sectPr>
      </w:pPr>
    </w:p>
    <w:p w14:paraId="5714B4F2">
      <w:pPr>
        <w:keepNext w:val="0"/>
        <w:keepLines w:val="0"/>
        <w:pageBreakBefore w:val="0"/>
        <w:kinsoku/>
        <w:wordWrap/>
        <w:overflowPunct/>
        <w:topLinePunct w:val="0"/>
        <w:autoSpaceDE/>
        <w:autoSpaceDN/>
        <w:bidi w:val="0"/>
        <w:spacing w:line="56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北京市投资促进服务中心2023年度</w:t>
      </w:r>
      <w:r>
        <w:rPr>
          <w:rFonts w:hint="eastAsia" w:ascii="方正小标宋简体" w:hAnsi="方正小标宋简体" w:eastAsia="方正小标宋简体" w:cs="方正小标宋简体"/>
          <w:sz w:val="44"/>
          <w:szCs w:val="44"/>
        </w:rPr>
        <w:br w:type="textWrapping"/>
      </w:r>
      <w:r>
        <w:rPr>
          <w:rFonts w:hint="eastAsia" w:ascii="方正小标宋简体" w:hAnsi="方正小标宋简体" w:eastAsia="方正小标宋简体" w:cs="方正小标宋简体"/>
          <w:sz w:val="44"/>
          <w:szCs w:val="44"/>
        </w:rPr>
        <w:t>部门整体绩效评价报告</w:t>
      </w:r>
    </w:p>
    <w:p w14:paraId="4F764031">
      <w:pPr>
        <w:keepNext w:val="0"/>
        <w:keepLines w:val="0"/>
        <w:pageBreakBefore w:val="0"/>
        <w:kinsoku/>
        <w:wordWrap/>
        <w:overflowPunct/>
        <w:topLinePunct w:val="0"/>
        <w:autoSpaceDE/>
        <w:autoSpaceDN/>
        <w:bidi w:val="0"/>
        <w:spacing w:before="312" w:beforeLines="100" w:line="560" w:lineRule="exact"/>
        <w:ind w:firstLine="640" w:firstLineChars="200"/>
        <w:rPr>
          <w:rFonts w:hint="eastAsia" w:ascii="仿宋_GB2312" w:hAnsi="仿宋_GB2312" w:eastAsia="仿宋_GB2312" w:cs="仿宋_GB2312"/>
          <w:kern w:val="0"/>
          <w:sz w:val="32"/>
          <w:szCs w:val="32"/>
        </w:rPr>
      </w:pPr>
      <w:r>
        <w:rPr>
          <w:rFonts w:hint="eastAsia" w:ascii="仿宋_GB2312" w:hAnsi="仿宋_GB2312" w:eastAsia="仿宋_GB2312" w:cs="仿宋_GB2312"/>
          <w:bCs/>
          <w:kern w:val="0"/>
          <w:sz w:val="32"/>
          <w:szCs w:val="28"/>
        </w:rPr>
        <w:t>为进一步加强预算绩效管理，强化支出责任，提高财政资金使用效益，考核财政支出效率和综合效果，根据</w:t>
      </w:r>
      <w:r>
        <w:rPr>
          <w:rFonts w:hint="eastAsia" w:ascii="仿宋_GB2312" w:hAnsi="仿宋_GB2312" w:eastAsia="仿宋_GB2312" w:cs="仿宋_GB2312"/>
          <w:sz w:val="32"/>
        </w:rPr>
        <w:t>《中共北京市委 北京市人民政府关于全面实施预算绩效管理的实施意见》（京发〔2019〕12号）</w:t>
      </w:r>
      <w:r>
        <w:rPr>
          <w:rFonts w:hint="eastAsia" w:ascii="仿宋_GB2312" w:hAnsi="仿宋_GB2312" w:eastAsia="仿宋_GB2312" w:cs="仿宋_GB2312"/>
          <w:bCs/>
          <w:kern w:val="0"/>
          <w:sz w:val="32"/>
          <w:szCs w:val="28"/>
        </w:rPr>
        <w:t>《北京市项目支出绩效评价管理办法》（京财绩效〔2020〕2146号），结合《北京市财政局关于开展2024年预算绩效管理相关工作的函》的工作安排，北京市投资促进服务中心</w:t>
      </w:r>
      <w:r>
        <w:rPr>
          <w:rFonts w:hint="eastAsia" w:ascii="仿宋_GB2312" w:hAnsi="仿宋_GB2312" w:eastAsia="仿宋_GB2312" w:cs="仿宋_GB2312"/>
          <w:bCs/>
          <w:kern w:val="0"/>
          <w:sz w:val="32"/>
          <w:szCs w:val="28"/>
          <w:lang w:eastAsia="zh-CN"/>
        </w:rPr>
        <w:t>（</w:t>
      </w:r>
      <w:r>
        <w:rPr>
          <w:rFonts w:hint="eastAsia" w:ascii="仿宋_GB2312" w:hAnsi="仿宋_GB2312" w:eastAsia="仿宋_GB2312" w:cs="仿宋_GB2312"/>
          <w:bCs/>
          <w:kern w:val="0"/>
          <w:sz w:val="32"/>
          <w:szCs w:val="28"/>
          <w:lang w:val="en-US" w:eastAsia="zh-CN"/>
        </w:rPr>
        <w:t>简称市投资促进中心</w:t>
      </w:r>
      <w:r>
        <w:rPr>
          <w:rFonts w:hint="eastAsia" w:ascii="仿宋_GB2312" w:hAnsi="仿宋_GB2312" w:eastAsia="仿宋_GB2312" w:cs="仿宋_GB2312"/>
          <w:bCs/>
          <w:kern w:val="0"/>
          <w:sz w:val="32"/>
          <w:szCs w:val="28"/>
          <w:lang w:eastAsia="zh-CN"/>
        </w:rPr>
        <w:t>）</w:t>
      </w:r>
      <w:r>
        <w:rPr>
          <w:rFonts w:hint="eastAsia" w:ascii="仿宋_GB2312" w:hAnsi="仿宋_GB2312" w:eastAsia="仿宋_GB2312" w:cs="仿宋_GB2312"/>
          <w:bCs/>
          <w:kern w:val="0"/>
          <w:sz w:val="32"/>
          <w:szCs w:val="28"/>
        </w:rPr>
        <w:t>组建绩效评价工作组，对2023年度部门整体实施绩效评价，形成本绩效评价报告。</w:t>
      </w:r>
    </w:p>
    <w:p w14:paraId="0FA0BB71">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sz w:val="32"/>
          <w:szCs w:val="32"/>
        </w:rPr>
      </w:pPr>
      <w:bookmarkStart w:id="0" w:name="_Toc9894"/>
      <w:r>
        <w:rPr>
          <w:rFonts w:hint="eastAsia" w:ascii="黑体" w:hAnsi="黑体" w:eastAsia="黑体" w:cs="黑体"/>
          <w:sz w:val="32"/>
          <w:szCs w:val="32"/>
        </w:rPr>
        <w:t>一、部门概况</w:t>
      </w:r>
      <w:bookmarkEnd w:id="0"/>
    </w:p>
    <w:p w14:paraId="0F2C0DE4">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 w:name="_Toc11410"/>
      <w:r>
        <w:rPr>
          <w:rFonts w:hint="eastAsia" w:ascii="楷体_GB2312" w:hAnsi="楷体_GB2312" w:eastAsia="楷体_GB2312" w:cs="楷体_GB2312"/>
          <w:b/>
          <w:bCs/>
          <w:sz w:val="32"/>
          <w:szCs w:val="32"/>
        </w:rPr>
        <w:t>（一）机构设置及职责工作任务情况</w:t>
      </w:r>
      <w:bookmarkEnd w:id="1"/>
    </w:p>
    <w:p w14:paraId="021286C8">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市投资促进中心是负责招商引资、提供投资促进专业化服务的市政府直属公益一类事业单位，机构规格为正局级，加挂北京市外商投资服务中心牌子（简称市外商投资服务中心）。</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lang w:val="en-US" w:eastAsia="zh-CN"/>
        </w:rPr>
        <w:t>共设办公室、综合计划处等内设机构14个</w:t>
      </w:r>
      <w:r>
        <w:rPr>
          <w:rFonts w:hint="eastAsia" w:ascii="仿宋_GB2312" w:hAnsi="仿宋_GB2312" w:eastAsia="仿宋_GB2312" w:cs="仿宋_GB2312"/>
          <w:sz w:val="32"/>
          <w:szCs w:val="32"/>
        </w:rPr>
        <w:t>，所属事业单位1个，为北京市投资促进综合事务中心。</w:t>
      </w:r>
      <w:r>
        <w:rPr>
          <w:rFonts w:hint="eastAsia" w:ascii="仿宋_GB2312" w:hAnsi="仿宋_GB2312" w:eastAsia="仿宋_GB2312" w:cs="仿宋_GB2312"/>
          <w:sz w:val="32"/>
          <w:szCs w:val="32"/>
          <w:lang w:val="en-US" w:eastAsia="zh-CN"/>
        </w:rPr>
        <w:t>部门</w:t>
      </w:r>
      <w:r>
        <w:rPr>
          <w:rFonts w:hint="eastAsia" w:ascii="仿宋_GB2312" w:hAnsi="仿宋_GB2312" w:eastAsia="仿宋_GB2312" w:cs="仿宋_GB2312"/>
          <w:sz w:val="32"/>
          <w:szCs w:val="32"/>
        </w:rPr>
        <w:t>主要职责</w:t>
      </w:r>
      <w:r>
        <w:rPr>
          <w:rFonts w:hint="eastAsia" w:ascii="仿宋_GB2312" w:hAnsi="仿宋_GB2312" w:eastAsia="仿宋_GB2312" w:cs="仿宋_GB2312"/>
          <w:sz w:val="32"/>
          <w:szCs w:val="32"/>
          <w:lang w:val="en-US" w:eastAsia="zh-CN"/>
        </w:rPr>
        <w:t>如下</w:t>
      </w:r>
      <w:r>
        <w:rPr>
          <w:rFonts w:hint="eastAsia" w:ascii="仿宋_GB2312" w:hAnsi="仿宋_GB2312" w:eastAsia="仿宋_GB2312" w:cs="仿宋_GB2312"/>
          <w:sz w:val="32"/>
          <w:szCs w:val="32"/>
        </w:rPr>
        <w:t>：</w:t>
      </w:r>
    </w:p>
    <w:p w14:paraId="79226A52">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拟订本市招商引资中长期规划。研究提出有关改善本市投资环境的建议。</w:t>
      </w:r>
    </w:p>
    <w:p w14:paraId="33837804">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负责开展境内外招商引资网点建设，加强与国际、国内专业机构联络，拓宽招商引资渠道。</w:t>
      </w:r>
    </w:p>
    <w:p w14:paraId="017D3288">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负责开展全市招商引资政策、资源及投资环境等综合宣传推广工作。</w:t>
      </w:r>
    </w:p>
    <w:p w14:paraId="68681BBD">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协同开展重大项目招商引资，提供落地协调服务。</w:t>
      </w:r>
    </w:p>
    <w:p w14:paraId="57BE55B5">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负责汇集整合全市招商推介活动需求，拟订活动计划并协同开展。 </w:t>
      </w:r>
    </w:p>
    <w:p w14:paraId="262AD24F">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为境内外投资者和在京企业提供协助、支持和相关服务工作。开展外商投资企业投诉受理相关工作。</w:t>
      </w:r>
    </w:p>
    <w:p w14:paraId="4F37ADA2">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协调和联系各区及北京经济技术开发区的投资促进工作。</w:t>
      </w:r>
    </w:p>
    <w:p w14:paraId="154A6B66">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完成市委、市政府交办的其他任务。</w:t>
      </w:r>
    </w:p>
    <w:p w14:paraId="24F02279">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2" w:name="_Toc200"/>
      <w:r>
        <w:rPr>
          <w:rFonts w:hint="eastAsia" w:ascii="楷体_GB2312" w:hAnsi="楷体_GB2312" w:eastAsia="楷体_GB2312" w:cs="楷体_GB2312"/>
          <w:b/>
          <w:bCs/>
          <w:sz w:val="32"/>
          <w:szCs w:val="32"/>
        </w:rPr>
        <w:t>（二）部门整体绩效目标设立情况</w:t>
      </w:r>
      <w:bookmarkEnd w:id="2"/>
    </w:p>
    <w:p w14:paraId="1C6A0B05">
      <w:pPr>
        <w:keepNext w:val="0"/>
        <w:keepLines w:val="0"/>
        <w:pageBreakBefore w:val="0"/>
        <w:kinsoku/>
        <w:wordWrap/>
        <w:overflowPunct/>
        <w:topLinePunct w:val="0"/>
        <w:autoSpaceDE/>
        <w:autoSpaceDN/>
        <w:bidi w:val="0"/>
        <w:spacing w:line="56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1.绩效目标设立</w:t>
      </w:r>
    </w:p>
    <w:p w14:paraId="3036A60F">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2023年度部门整体目标为：市投资促进中心根据2023年市委、市政府决策部署和部门职能，结合中心工作计划设置了部门整体绩效目标及四项具体绩效指标。部门整体绩效目标及绩效指标与市投资促进中心年度各项职责任务高度匹配，具有可评价性。</w:t>
      </w:r>
    </w:p>
    <w:p w14:paraId="610B5529">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绩效目标</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产出指标。利用好服贸会、中关村论坛、金融街论坛，以及京港洽谈会、进博会、广交会等重大活动平台，开展系列投资促进活动，深入推进“投资北京”品牌认知与推广。支持各区围绕主导产业，策划打造具有国际影响力的招商推介活动。</w:t>
      </w:r>
    </w:p>
    <w:p w14:paraId="4F57AAB2">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绩效目标2：产出指标。宣传推介北京，加强市区协同，成立市区联合项目组促进重大项目落地，建立健全市领导对重大项目现场调研、重大项目协调调度，招商项目信息共享、推介活动联合筹办等工作机制，健全完善招商引资工作评价指标体系和监督考评工作机制。</w:t>
      </w:r>
    </w:p>
    <w:p w14:paraId="412E766E">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绩效目标3：效益指标。统筹全市投资促进工作，加快职能转变、业务转型服务升级。培养引进一批熟悉政策、了解国情市情、具有全球视野、熟练运用外语、通晓国际规则、精通国际谈判的投资促进人才。充分发挥社会智库和专家力量，为投资促进业务能力建设提供智力支撑。</w:t>
      </w:r>
    </w:p>
    <w:p w14:paraId="02572A2F">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绩效目标</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效益指标。汇聚市、区相关部门和社会相关数据资源，建设形成招商项目库、推介活动库、政策清单库、空间资源库、目标企业库、企业发展服务库、招商渠道资源库等主题应用数据库。推动招商引资基础信息市区共享，完善系统功能模块。</w:t>
      </w:r>
    </w:p>
    <w:p w14:paraId="4F105736">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绩效目标</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效益指标。充分利用全球知名专业服务机构和境外、京外各类商协会资源优势，建立覆盖全球主要国家（地区）和国内经济发达地区的专业渠道招商网络，为项目来京落地提供各项专业服务。探索与全球重点城市建立联系、合作工作机制。</w:t>
      </w:r>
    </w:p>
    <w:p w14:paraId="18A6C02D">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绩效目标</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：服务对象满意度指标。企业服务，汇聚国家、市级和各区的相关产业、区域支持政策，形成“市级统一+各区特色+行业特点”的政策服务包。用好12345企业服务热线等平台，强化政策宣传和咨询解读。</w:t>
      </w:r>
    </w:p>
    <w:p w14:paraId="41169F1D">
      <w:pPr>
        <w:keepNext w:val="0"/>
        <w:keepLines w:val="0"/>
        <w:pageBreakBefore w:val="0"/>
        <w:kinsoku/>
        <w:wordWrap/>
        <w:overflowPunct/>
        <w:topLinePunct w:val="0"/>
        <w:autoSpaceDE/>
        <w:autoSpaceDN/>
        <w:bidi w:val="0"/>
        <w:spacing w:line="56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2.项目绩效评价情况分析</w:t>
      </w:r>
    </w:p>
    <w:p w14:paraId="4CDBF8BA">
      <w:pPr>
        <w:pStyle w:val="2"/>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本单位2023年纳入部门预算绩效管理的项目共26个，</w:t>
      </w:r>
      <w:r>
        <w:rPr>
          <w:rFonts w:hint="eastAsia" w:ascii="仿宋_GB2312" w:hAnsi="仿宋_GB2312" w:eastAsia="仿宋_GB2312" w:cs="仿宋_GB2312"/>
          <w:sz w:val="32"/>
          <w:szCs w:val="32"/>
          <w:lang w:val="en-US" w:eastAsia="zh-CN"/>
        </w:rPr>
        <w:t>预算</w:t>
      </w:r>
      <w:r>
        <w:rPr>
          <w:rFonts w:hint="eastAsia" w:ascii="仿宋_GB2312" w:hAnsi="仿宋_GB2312" w:eastAsia="仿宋_GB2312" w:cs="仿宋_GB2312"/>
          <w:sz w:val="32"/>
          <w:szCs w:val="32"/>
        </w:rPr>
        <w:t>编制项目支出绩效目标申报表26份，包括：运行保障项目、搬家及开办经费、机构运转经费、课题研究类项目、北京香港经济合作研讨洽谈会、绩效/评审/采购等管理经费、法律顾问费、舆情监测及舆情信息分析提供、机动经费等。共设定绩效指标</w:t>
      </w:r>
      <w:r>
        <w:rPr>
          <w:rFonts w:hint="eastAsia" w:ascii="仿宋_GB2312" w:hAnsi="仿宋_GB2312" w:eastAsia="仿宋_GB2312" w:cs="仿宋_GB2312"/>
          <w:sz w:val="32"/>
          <w:szCs w:val="32"/>
          <w:highlight w:val="none"/>
          <w:lang w:val="en-US" w:eastAsia="zh-CN"/>
        </w:rPr>
        <w:t>255</w:t>
      </w:r>
      <w:r>
        <w:rPr>
          <w:rFonts w:hint="eastAsia" w:ascii="仿宋_GB2312" w:hAnsi="仿宋_GB2312" w:eastAsia="仿宋_GB2312" w:cs="仿宋_GB2312"/>
          <w:sz w:val="32"/>
          <w:szCs w:val="32"/>
        </w:rPr>
        <w:t>项</w:t>
      </w:r>
      <w:r>
        <w:rPr>
          <w:rFonts w:hint="eastAsia" w:ascii="仿宋_GB2312" w:hAnsi="仿宋_GB2312" w:eastAsia="仿宋_GB2312" w:cs="仿宋_GB2312"/>
          <w:sz w:val="32"/>
          <w:szCs w:val="32"/>
          <w:lang w:eastAsia="zh-CN"/>
        </w:rPr>
        <w:t>。</w:t>
      </w:r>
    </w:p>
    <w:p w14:paraId="71E01423">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kern w:val="0"/>
          <w:sz w:val="32"/>
          <w:szCs w:val="32"/>
        </w:rPr>
      </w:pPr>
      <w:bookmarkStart w:id="3" w:name="_Toc6244"/>
      <w:r>
        <w:rPr>
          <w:rFonts w:hint="eastAsia" w:ascii="黑体" w:hAnsi="黑体" w:eastAsia="黑体" w:cs="黑体"/>
          <w:kern w:val="0"/>
          <w:sz w:val="32"/>
          <w:szCs w:val="32"/>
        </w:rPr>
        <w:t>二、当年预算执行情况</w:t>
      </w:r>
      <w:bookmarkEnd w:id="3"/>
    </w:p>
    <w:p w14:paraId="0FB45BFA">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2023年支出预算数7,972.90万元，其中：基本支出预算数5,083.53万元、项目支出预算数2,889.37万元。资金总体支出6,975.65万元，其中：基本支出4,415.55万元、项目支出2,560.10万元。全年支出预算执行率为87.49%。</w:t>
      </w:r>
    </w:p>
    <w:p w14:paraId="2B4B4A96">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sz w:val="32"/>
          <w:szCs w:val="32"/>
        </w:rPr>
      </w:pPr>
      <w:bookmarkStart w:id="4" w:name="_Toc584"/>
      <w:r>
        <w:rPr>
          <w:rFonts w:hint="eastAsia" w:ascii="黑体" w:hAnsi="黑体" w:eastAsia="黑体" w:cs="黑体"/>
          <w:sz w:val="32"/>
          <w:szCs w:val="32"/>
        </w:rPr>
        <w:t>三、整体绩效目标实现情况</w:t>
      </w:r>
      <w:bookmarkEnd w:id="4"/>
    </w:p>
    <w:p w14:paraId="5ACA0D9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5" w:name="_Toc10782"/>
      <w:r>
        <w:rPr>
          <w:rFonts w:hint="eastAsia" w:ascii="楷体_GB2312" w:hAnsi="楷体_GB2312" w:eastAsia="楷体_GB2312" w:cs="楷体_GB2312"/>
          <w:b/>
          <w:bCs/>
          <w:sz w:val="32"/>
          <w:szCs w:val="32"/>
        </w:rPr>
        <w:t>（一）产出完成情况分析</w:t>
      </w:r>
      <w:bookmarkEnd w:id="5"/>
    </w:p>
    <w:p w14:paraId="16D1B15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1.产出数量</w:t>
      </w:r>
    </w:p>
    <w:p w14:paraId="599ADDD1">
      <w:pPr>
        <w:pStyle w:val="2"/>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招商推介活动</w:t>
      </w:r>
      <w:r>
        <w:rPr>
          <w:rFonts w:hint="eastAsia" w:ascii="仿宋_GB2312" w:hAnsi="仿宋_GB2312" w:eastAsia="仿宋_GB2312" w:cs="仿宋_GB2312"/>
          <w:sz w:val="32"/>
          <w:szCs w:val="32"/>
          <w:lang w:val="en-US" w:eastAsia="zh-CN"/>
        </w:rPr>
        <w:t>方面</w:t>
      </w:r>
      <w:r>
        <w:rPr>
          <w:rFonts w:hint="eastAsia" w:ascii="仿宋_GB2312" w:hAnsi="仿宋_GB2312" w:eastAsia="仿宋_GB2312" w:cs="仿宋_GB2312"/>
          <w:sz w:val="32"/>
          <w:szCs w:val="32"/>
        </w:rPr>
        <w:t>。通过制定实施投资中国年北京行动方案和全市招商引资推介活动安排计划，全年共举办各类招商推介活动233场，其中市</w:t>
      </w:r>
      <w:r>
        <w:rPr>
          <w:rFonts w:hint="eastAsia" w:ascii="仿宋_GB2312" w:hAnsi="仿宋_GB2312" w:eastAsia="仿宋_GB2312" w:cs="仿宋_GB2312"/>
          <w:sz w:val="32"/>
          <w:szCs w:val="32"/>
          <w:lang w:eastAsia="zh-CN"/>
        </w:rPr>
        <w:t>投资促进</w:t>
      </w:r>
      <w:r>
        <w:rPr>
          <w:rFonts w:hint="eastAsia" w:ascii="仿宋_GB2312" w:hAnsi="仿宋_GB2312" w:eastAsia="仿宋_GB2312" w:cs="仿宋_GB2312"/>
          <w:sz w:val="32"/>
          <w:szCs w:val="32"/>
        </w:rPr>
        <w:t>中心和相关部门举办38场、各区（经开区）举办195场。</w:t>
      </w:r>
    </w:p>
    <w:p w14:paraId="116B1BC6">
      <w:pPr>
        <w:pStyle w:val="2"/>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lang w:val="en-US" w:eastAsia="zh-CN"/>
        </w:rPr>
        <w:t>（2）部门整体运行方面。一是</w:t>
      </w:r>
      <w:r>
        <w:rPr>
          <w:rFonts w:hint="eastAsia" w:ascii="仿宋_GB2312" w:hAnsi="仿宋_GB2312" w:eastAsia="仿宋_GB2312" w:cs="仿宋_GB2312"/>
          <w:sz w:val="32"/>
          <w:szCs w:val="32"/>
        </w:rPr>
        <w:t>基本支出，保障部门在编实有109人的人员经费，保障</w:t>
      </w:r>
      <w:r>
        <w:rPr>
          <w:rFonts w:hint="eastAsia" w:ascii="仿宋_GB2312" w:hAnsi="仿宋_GB2312" w:eastAsia="仿宋_GB2312" w:cs="仿宋_GB2312"/>
          <w:sz w:val="32"/>
          <w:szCs w:val="32"/>
          <w:lang w:eastAsia="zh-CN"/>
        </w:rPr>
        <w:t>市投资促进</w:t>
      </w:r>
      <w:r>
        <w:rPr>
          <w:rFonts w:hint="eastAsia" w:ascii="仿宋_GB2312" w:hAnsi="仿宋_GB2312" w:eastAsia="仿宋_GB2312" w:cs="仿宋_GB2312"/>
          <w:sz w:val="32"/>
          <w:szCs w:val="32"/>
        </w:rPr>
        <w:t>中心本级和北京市投资促进综合事务中心2个机构的正常运转。</w:t>
      </w:r>
      <w:r>
        <w:rPr>
          <w:rFonts w:hint="eastAsia" w:ascii="仿宋_GB2312" w:hAnsi="仿宋_GB2312" w:eastAsia="仿宋_GB2312" w:cs="仿宋_GB2312"/>
          <w:sz w:val="32"/>
          <w:szCs w:val="32"/>
          <w:lang w:val="en-US" w:eastAsia="zh-CN"/>
        </w:rPr>
        <w:t>二是</w:t>
      </w:r>
      <w:r>
        <w:rPr>
          <w:rFonts w:hint="eastAsia" w:ascii="仿宋_GB2312" w:hAnsi="仿宋_GB2312" w:eastAsia="仿宋_GB2312" w:cs="仿宋_GB2312"/>
          <w:sz w:val="32"/>
          <w:szCs w:val="32"/>
        </w:rPr>
        <w:t>项目支出，申请的26个项目，设置产出数量指标</w:t>
      </w:r>
      <w:r>
        <w:rPr>
          <w:rFonts w:hint="eastAsia" w:ascii="仿宋_GB2312" w:hAnsi="仿宋_GB2312" w:eastAsia="仿宋_GB2312" w:cs="仿宋_GB2312"/>
          <w:sz w:val="32"/>
          <w:szCs w:val="32"/>
          <w:highlight w:val="none"/>
          <w:lang w:val="en-US" w:eastAsia="zh-CN"/>
        </w:rPr>
        <w:t>53</w:t>
      </w:r>
      <w:r>
        <w:rPr>
          <w:rFonts w:hint="eastAsia" w:ascii="仿宋_GB2312" w:hAnsi="仿宋_GB2312" w:eastAsia="仿宋_GB2312" w:cs="仿宋_GB2312"/>
          <w:sz w:val="32"/>
          <w:szCs w:val="32"/>
          <w:highlight w:val="none"/>
        </w:rPr>
        <w:t xml:space="preserve">个，执行指标 </w:t>
      </w:r>
      <w:r>
        <w:rPr>
          <w:rFonts w:hint="eastAsia" w:ascii="仿宋_GB2312" w:hAnsi="仿宋_GB2312" w:eastAsia="仿宋_GB2312" w:cs="仿宋_GB2312"/>
          <w:sz w:val="32"/>
          <w:szCs w:val="32"/>
          <w:highlight w:val="none"/>
          <w:lang w:val="en-US" w:eastAsia="zh-CN"/>
        </w:rPr>
        <w:t>53</w:t>
      </w:r>
      <w:r>
        <w:rPr>
          <w:rFonts w:hint="eastAsia" w:ascii="仿宋_GB2312" w:hAnsi="仿宋_GB2312" w:eastAsia="仿宋_GB2312" w:cs="仿宋_GB2312"/>
          <w:sz w:val="32"/>
          <w:szCs w:val="32"/>
          <w:highlight w:val="none"/>
        </w:rPr>
        <w:t>个，指标值完成率总体为100%。</w:t>
      </w:r>
    </w:p>
    <w:p w14:paraId="08176853">
      <w:pPr>
        <w:pStyle w:val="2"/>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2.产出质量</w:t>
      </w:r>
    </w:p>
    <w:p w14:paraId="443D09D0">
      <w:pPr>
        <w:pStyle w:val="2"/>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市区协同促进了一批首创性、突破性、标志性的大项目落地，如全国首家新设外商独资券商渣打证券(中国)、全国首批新设外商独资期货公司摩根士丹利期货(中国)、全市首家外资商业保理公司卡特彼勒商业保理和阿里巴巴北京总部园区项目等。</w:t>
      </w:r>
    </w:p>
    <w:p w14:paraId="39F43865">
      <w:pPr>
        <w:pStyle w:val="2"/>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color w:val="000000"/>
          <w:kern w:val="0"/>
          <w:sz w:val="32"/>
          <w:szCs w:val="32"/>
        </w:rPr>
        <w:t>市投资促进中心各</w:t>
      </w:r>
      <w:r>
        <w:rPr>
          <w:rFonts w:hint="eastAsia" w:ascii="仿宋_GB2312" w:hAnsi="仿宋_GB2312" w:eastAsia="仿宋_GB2312" w:cs="仿宋_GB2312"/>
          <w:color w:val="000000"/>
          <w:kern w:val="0"/>
          <w:sz w:val="32"/>
          <w:szCs w:val="32"/>
          <w:lang w:val="en-US" w:eastAsia="zh-CN"/>
        </w:rPr>
        <w:t>预算项目质量</w:t>
      </w:r>
      <w:r>
        <w:rPr>
          <w:rFonts w:hint="eastAsia" w:ascii="仿宋_GB2312" w:hAnsi="仿宋_GB2312" w:eastAsia="仿宋_GB2312" w:cs="仿宋_GB2312"/>
          <w:color w:val="000000"/>
          <w:kern w:val="0"/>
          <w:sz w:val="32"/>
          <w:szCs w:val="32"/>
        </w:rPr>
        <w:t>完成情况较好，例如项目验收通过率100%；项目实施符合相关政策要求；设备故障率不高于0%等质量指标均有效完成。</w:t>
      </w:r>
      <w:r>
        <w:rPr>
          <w:rFonts w:hint="eastAsia" w:ascii="仿宋_GB2312" w:hAnsi="仿宋_GB2312" w:eastAsia="仿宋_GB2312" w:cs="仿宋_GB2312"/>
          <w:sz w:val="32"/>
          <w:szCs w:val="32"/>
        </w:rPr>
        <w:t>共设置产出质量指标</w:t>
      </w:r>
      <w:r>
        <w:rPr>
          <w:rFonts w:hint="eastAsia" w:ascii="仿宋_GB2312" w:hAnsi="仿宋_GB2312" w:eastAsia="仿宋_GB2312" w:cs="仿宋_GB2312"/>
          <w:sz w:val="32"/>
          <w:szCs w:val="32"/>
          <w:highlight w:val="none"/>
          <w:lang w:val="en-US" w:eastAsia="zh-CN"/>
        </w:rPr>
        <w:t>43</w:t>
      </w:r>
      <w:r>
        <w:rPr>
          <w:rFonts w:hint="eastAsia" w:ascii="仿宋_GB2312" w:hAnsi="仿宋_GB2312" w:eastAsia="仿宋_GB2312" w:cs="仿宋_GB2312"/>
          <w:sz w:val="32"/>
          <w:szCs w:val="32"/>
          <w:highlight w:val="none"/>
        </w:rPr>
        <w:t>个，执行</w:t>
      </w:r>
      <w:r>
        <w:rPr>
          <w:rFonts w:hint="eastAsia" w:ascii="仿宋_GB2312" w:hAnsi="仿宋_GB2312" w:eastAsia="仿宋_GB2312" w:cs="仿宋_GB2312"/>
          <w:sz w:val="32"/>
          <w:szCs w:val="32"/>
          <w:highlight w:val="none"/>
          <w:lang w:val="en-US" w:eastAsia="zh-CN"/>
        </w:rPr>
        <w:t>43</w:t>
      </w:r>
      <w:r>
        <w:rPr>
          <w:rFonts w:hint="eastAsia" w:ascii="仿宋_GB2312" w:hAnsi="仿宋_GB2312" w:eastAsia="仿宋_GB2312" w:cs="仿宋_GB2312"/>
          <w:sz w:val="32"/>
          <w:szCs w:val="32"/>
          <w:highlight w:val="none"/>
        </w:rPr>
        <w:t>个，指标值完成率总体为100 %。</w:t>
      </w:r>
    </w:p>
    <w:p w14:paraId="5F644BB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3.产出进度</w:t>
      </w:r>
    </w:p>
    <w:p w14:paraId="108640CA">
      <w:pPr>
        <w:pStyle w:val="2"/>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仿宋_GB2312" w:hAnsi="宋体" w:eastAsia="仿宋_GB2312" w:cs="宋体"/>
          <w:color w:val="000000"/>
          <w:kern w:val="0"/>
          <w:sz w:val="32"/>
          <w:szCs w:val="32"/>
        </w:rPr>
      </w:pPr>
      <w:r>
        <w:rPr>
          <w:rFonts w:hint="eastAsia" w:ascii="仿宋_GB2312" w:hAnsi="仿宋_GB2312" w:eastAsia="仿宋_GB2312" w:cs="仿宋_GB2312"/>
          <w:color w:val="000000"/>
          <w:kern w:val="0"/>
          <w:sz w:val="32"/>
          <w:szCs w:val="32"/>
        </w:rPr>
        <w:t>市投资促进中心各项工作完成及时性较好，</w:t>
      </w:r>
      <w:r>
        <w:rPr>
          <w:rFonts w:hint="eastAsia" w:ascii="仿宋_GB2312" w:hAnsi="仿宋_GB2312" w:eastAsia="仿宋_GB2312" w:cs="仿宋_GB2312"/>
          <w:color w:val="000000"/>
          <w:kern w:val="0"/>
          <w:sz w:val="32"/>
          <w:szCs w:val="32"/>
          <w:lang w:val="en-US" w:eastAsia="zh-CN"/>
        </w:rPr>
        <w:t>26个项目预算执行率88.60%</w:t>
      </w:r>
      <w:r>
        <w:rPr>
          <w:rFonts w:hint="eastAsia" w:ascii="仿宋_GB2312" w:hAnsi="仿宋_GB2312" w:eastAsia="仿宋_GB2312" w:cs="仿宋_GB2312"/>
          <w:sz w:val="32"/>
          <w:szCs w:val="32"/>
        </w:rPr>
        <w:t>。具体</w:t>
      </w:r>
      <w:r>
        <w:rPr>
          <w:rFonts w:hint="eastAsia" w:ascii="仿宋_GB2312" w:hAnsi="仿宋_GB2312" w:eastAsia="仿宋_GB2312" w:cs="仿宋_GB2312"/>
          <w:sz w:val="32"/>
          <w:szCs w:val="32"/>
          <w:lang w:val="en-US" w:eastAsia="zh-CN"/>
        </w:rPr>
        <w:t>执行进度</w:t>
      </w:r>
      <w:r>
        <w:rPr>
          <w:rFonts w:hint="eastAsia" w:ascii="仿宋_GB2312" w:hAnsi="仿宋_GB2312" w:eastAsia="仿宋_GB2312" w:cs="仿宋_GB2312"/>
          <w:sz w:val="32"/>
          <w:szCs w:val="32"/>
        </w:rPr>
        <w:t>情况见下表：</w:t>
      </w:r>
    </w:p>
    <w:p w14:paraId="6DA50725">
      <w:pPr>
        <w:keepNext w:val="0"/>
        <w:keepLines w:val="0"/>
        <w:pageBreakBefore w:val="0"/>
        <w:kinsoku/>
        <w:wordWrap/>
        <w:overflowPunct/>
        <w:topLinePunct w:val="0"/>
        <w:autoSpaceDE/>
        <w:autoSpaceDN/>
        <w:bidi w:val="0"/>
        <w:spacing w:line="560" w:lineRule="exact"/>
        <w:jc w:val="center"/>
        <w:rPr>
          <w:rFonts w:ascii="仿宋_GB2312" w:hAnsi="宋体" w:eastAsia="仿宋_GB2312" w:cs="宋体"/>
          <w:b/>
          <w:bCs/>
          <w:color w:val="000000"/>
          <w:kern w:val="0"/>
          <w:sz w:val="32"/>
          <w:szCs w:val="32"/>
        </w:rPr>
      </w:pPr>
      <w:r>
        <w:rPr>
          <w:rFonts w:hint="eastAsia" w:ascii="仿宋" w:hAnsi="仿宋" w:eastAsia="仿宋" w:cs="仿宋"/>
          <w:b/>
          <w:bCs/>
          <w:sz w:val="32"/>
          <w:szCs w:val="32"/>
        </w:rPr>
        <w:t>2023年部门项目</w:t>
      </w:r>
      <w:r>
        <w:rPr>
          <w:rFonts w:hint="eastAsia" w:ascii="仿宋" w:hAnsi="仿宋" w:eastAsia="仿宋" w:cs="仿宋"/>
          <w:b/>
          <w:bCs/>
          <w:sz w:val="32"/>
          <w:szCs w:val="32"/>
          <w:lang w:val="en-US" w:eastAsia="zh-CN"/>
        </w:rPr>
        <w:t>预算执行</w:t>
      </w:r>
      <w:r>
        <w:rPr>
          <w:rFonts w:hint="eastAsia" w:ascii="仿宋" w:hAnsi="仿宋" w:eastAsia="仿宋" w:cs="仿宋"/>
          <w:b/>
          <w:bCs/>
          <w:sz w:val="32"/>
          <w:szCs w:val="32"/>
        </w:rPr>
        <w:t>情况</w:t>
      </w:r>
    </w:p>
    <w:p w14:paraId="0829B2C0">
      <w:pPr>
        <w:keepNext w:val="0"/>
        <w:keepLines w:val="0"/>
        <w:pageBreakBefore w:val="0"/>
        <w:kinsoku/>
        <w:wordWrap/>
        <w:overflowPunct/>
        <w:topLinePunct w:val="0"/>
        <w:autoSpaceDE/>
        <w:autoSpaceDN/>
        <w:bidi w:val="0"/>
        <w:spacing w:line="560" w:lineRule="exact"/>
        <w:ind w:left="105" w:leftChars="50" w:firstLine="6440" w:firstLineChars="2300"/>
        <w:rPr>
          <w:rFonts w:ascii="仿宋_GB2312" w:hAnsi="宋体" w:eastAsia="仿宋_GB2312" w:cs="宋体"/>
          <w:color w:val="000000"/>
          <w:kern w:val="0"/>
          <w:szCs w:val="28"/>
        </w:rPr>
      </w:pPr>
      <w:r>
        <w:rPr>
          <w:rFonts w:hint="eastAsia" w:ascii="仿宋" w:hAnsi="仿宋" w:eastAsia="仿宋" w:cs="仿宋"/>
          <w:sz w:val="28"/>
          <w:szCs w:val="32"/>
        </w:rPr>
        <w:t>单位：元</w:t>
      </w:r>
    </w:p>
    <w:tbl>
      <w:tblPr>
        <w:tblStyle w:val="10"/>
        <w:tblW w:w="8613" w:type="dxa"/>
        <w:jc w:val="center"/>
        <w:tblLayout w:type="fixed"/>
        <w:tblCellMar>
          <w:top w:w="0" w:type="dxa"/>
          <w:left w:w="108" w:type="dxa"/>
          <w:bottom w:w="0" w:type="dxa"/>
          <w:right w:w="108" w:type="dxa"/>
        </w:tblCellMar>
      </w:tblPr>
      <w:tblGrid>
        <w:gridCol w:w="739"/>
        <w:gridCol w:w="2488"/>
        <w:gridCol w:w="1984"/>
        <w:gridCol w:w="1985"/>
        <w:gridCol w:w="1417"/>
      </w:tblGrid>
      <w:tr w14:paraId="68EDDFB7">
        <w:tblPrEx>
          <w:tblCellMar>
            <w:top w:w="0" w:type="dxa"/>
            <w:left w:w="108" w:type="dxa"/>
            <w:bottom w:w="0" w:type="dxa"/>
            <w:right w:w="108" w:type="dxa"/>
          </w:tblCellMar>
        </w:tblPrEx>
        <w:trPr>
          <w:trHeight w:val="794" w:hRule="atLeast"/>
          <w:tblHeader/>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AD414">
            <w:pPr>
              <w:keepNext w:val="0"/>
              <w:keepLines w:val="0"/>
              <w:pageBreakBefore w:val="0"/>
              <w:widowControl/>
              <w:kinsoku/>
              <w:wordWrap/>
              <w:overflowPunct/>
              <w:topLinePunct w:val="0"/>
              <w:autoSpaceDE/>
              <w:autoSpaceDN/>
              <w:bidi w:val="0"/>
              <w:spacing w:line="560" w:lineRule="exact"/>
              <w:jc w:val="center"/>
              <w:textAlignment w:val="center"/>
              <w:rPr>
                <w:rFonts w:hint="eastAsia"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kern w:val="0"/>
                <w:sz w:val="24"/>
                <w:szCs w:val="24"/>
                <w:lang w:bidi="ar"/>
              </w:rPr>
              <w:t>序号</w:t>
            </w:r>
          </w:p>
        </w:tc>
        <w:tc>
          <w:tcPr>
            <w:tcW w:w="2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6F18E">
            <w:pPr>
              <w:keepNext w:val="0"/>
              <w:keepLines w:val="0"/>
              <w:pageBreakBefore w:val="0"/>
              <w:widowControl/>
              <w:kinsoku/>
              <w:wordWrap/>
              <w:overflowPunct/>
              <w:topLinePunct w:val="0"/>
              <w:autoSpaceDE/>
              <w:autoSpaceDN/>
              <w:bidi w:val="0"/>
              <w:spacing w:line="560" w:lineRule="exact"/>
              <w:ind w:firstLine="482"/>
              <w:jc w:val="center"/>
              <w:textAlignment w:val="center"/>
              <w:rPr>
                <w:rFonts w:hint="eastAsia"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kern w:val="0"/>
                <w:sz w:val="24"/>
                <w:szCs w:val="24"/>
                <w:lang w:bidi="ar"/>
              </w:rPr>
              <w:t>指标名称</w:t>
            </w:r>
          </w:p>
        </w:tc>
        <w:tc>
          <w:tcPr>
            <w:tcW w:w="1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21AC8">
            <w:pPr>
              <w:keepNext w:val="0"/>
              <w:keepLines w:val="0"/>
              <w:pageBreakBefore w:val="0"/>
              <w:widowControl/>
              <w:kinsoku/>
              <w:wordWrap/>
              <w:overflowPunct/>
              <w:topLinePunct w:val="0"/>
              <w:autoSpaceDE/>
              <w:autoSpaceDN/>
              <w:bidi w:val="0"/>
              <w:spacing w:line="560" w:lineRule="exact"/>
              <w:jc w:val="center"/>
              <w:textAlignment w:val="center"/>
              <w:rPr>
                <w:rFonts w:hint="default" w:asciiTheme="majorEastAsia" w:hAnsiTheme="majorEastAsia" w:eastAsiaTheme="majorEastAsia" w:cstheme="majorEastAsia"/>
                <w:b/>
                <w:bCs/>
                <w:color w:val="000000"/>
                <w:sz w:val="24"/>
                <w:szCs w:val="24"/>
                <w:lang w:val="en-US" w:eastAsia="zh-CN"/>
              </w:rPr>
            </w:pPr>
            <w:r>
              <w:rPr>
                <w:rFonts w:hint="eastAsia" w:asciiTheme="majorEastAsia" w:hAnsiTheme="majorEastAsia" w:eastAsiaTheme="majorEastAsia" w:cstheme="majorEastAsia"/>
                <w:b/>
                <w:bCs/>
                <w:color w:val="000000"/>
                <w:kern w:val="0"/>
                <w:sz w:val="24"/>
                <w:szCs w:val="24"/>
                <w:lang w:val="en-US" w:eastAsia="zh-CN" w:bidi="ar"/>
              </w:rPr>
              <w:t>全年预算数</w:t>
            </w:r>
          </w:p>
        </w:tc>
        <w:tc>
          <w:tcPr>
            <w:tcW w:w="19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1628F">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default" w:asciiTheme="majorEastAsia" w:hAnsiTheme="majorEastAsia" w:eastAsiaTheme="majorEastAsia" w:cstheme="majorEastAsia"/>
                <w:b/>
                <w:bCs/>
                <w:color w:val="000000"/>
                <w:sz w:val="24"/>
                <w:szCs w:val="24"/>
                <w:lang w:val="en-US" w:eastAsia="zh-CN"/>
              </w:rPr>
            </w:pPr>
            <w:r>
              <w:rPr>
                <w:rFonts w:hint="eastAsia" w:asciiTheme="majorEastAsia" w:hAnsiTheme="majorEastAsia" w:eastAsiaTheme="majorEastAsia" w:cstheme="majorEastAsia"/>
                <w:b/>
                <w:bCs/>
                <w:color w:val="000000"/>
                <w:kern w:val="0"/>
                <w:sz w:val="24"/>
                <w:szCs w:val="24"/>
                <w:lang w:val="en-US" w:eastAsia="zh-CN" w:bidi="ar"/>
              </w:rPr>
              <w:t>预算执行</w:t>
            </w:r>
          </w:p>
        </w:tc>
        <w:tc>
          <w:tcPr>
            <w:tcW w:w="14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E80AD">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b/>
                <w:bCs/>
                <w:color w:val="000000"/>
                <w:kern w:val="0"/>
                <w:sz w:val="24"/>
                <w:szCs w:val="24"/>
                <w:lang w:bidi="ar"/>
              </w:rPr>
            </w:pPr>
            <w:r>
              <w:rPr>
                <w:rFonts w:hint="eastAsia" w:asciiTheme="majorEastAsia" w:hAnsiTheme="majorEastAsia" w:eastAsiaTheme="majorEastAsia" w:cstheme="majorEastAsia"/>
                <w:b/>
                <w:bCs/>
                <w:color w:val="000000"/>
                <w:kern w:val="0"/>
                <w:sz w:val="24"/>
                <w:szCs w:val="24"/>
                <w:lang w:bidi="ar"/>
              </w:rPr>
              <w:t>预算执行率</w:t>
            </w:r>
          </w:p>
        </w:tc>
      </w:tr>
      <w:tr w14:paraId="2D7C13A5">
        <w:tblPrEx>
          <w:tblCellMar>
            <w:top w:w="0" w:type="dxa"/>
            <w:left w:w="108" w:type="dxa"/>
            <w:bottom w:w="0" w:type="dxa"/>
            <w:right w:w="108" w:type="dxa"/>
          </w:tblCellMar>
        </w:tblPrEx>
        <w:trPr>
          <w:trHeight w:val="498"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4087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D9910">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因公出国（境）类项目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9FE57">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3,437,348.05</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C3A8C">
            <w:pPr>
              <w:keepNext w:val="0"/>
              <w:keepLines w:val="0"/>
              <w:pageBreakBefore w:val="0"/>
              <w:widowControl/>
              <w:kinsoku/>
              <w:wordWrap/>
              <w:overflowPunct/>
              <w:topLinePunct w:val="0"/>
              <w:autoSpaceDE/>
              <w:autoSpaceDN/>
              <w:bidi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1,657,282.32</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D175E">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48.21%</w:t>
            </w:r>
          </w:p>
        </w:tc>
      </w:tr>
      <w:tr w14:paraId="0FFD8B30">
        <w:tblPrEx>
          <w:tblCellMar>
            <w:top w:w="0" w:type="dxa"/>
            <w:left w:w="108" w:type="dxa"/>
            <w:bottom w:w="0" w:type="dxa"/>
            <w:right w:w="108" w:type="dxa"/>
          </w:tblCellMar>
        </w:tblPrEx>
        <w:trPr>
          <w:trHeight w:val="483"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ACA0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2</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894F7">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运行保障项目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D2284">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1,635,754.16</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DB80D">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1,598,678.85</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E89F3">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97.73%</w:t>
            </w:r>
          </w:p>
        </w:tc>
      </w:tr>
      <w:tr w14:paraId="36F7D1D2">
        <w:tblPrEx>
          <w:tblCellMar>
            <w:top w:w="0" w:type="dxa"/>
            <w:left w:w="108" w:type="dxa"/>
            <w:bottom w:w="0" w:type="dxa"/>
            <w:right w:w="108" w:type="dxa"/>
          </w:tblCellMar>
        </w:tblPrEx>
        <w:trPr>
          <w:trHeight w:val="460"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5FDA7">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3</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35B08">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课题研究类项目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B8A4B">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538,998.00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1972C">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538,998.00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F6A32">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3A018E1B">
        <w:tblPrEx>
          <w:tblCellMar>
            <w:top w:w="0" w:type="dxa"/>
            <w:left w:w="108" w:type="dxa"/>
            <w:bottom w:w="0" w:type="dxa"/>
            <w:right w:w="108" w:type="dxa"/>
          </w:tblCellMar>
        </w:tblPrEx>
        <w:trPr>
          <w:trHeight w:val="494"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77D5C">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4</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AB468">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北京香港经济合作研讨洽谈会</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98781">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3,800,000.00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5CC02">
            <w:pPr>
              <w:keepNext w:val="0"/>
              <w:keepLines w:val="0"/>
              <w:pageBreakBefore w:val="0"/>
              <w:widowControl/>
              <w:kinsoku/>
              <w:wordWrap/>
              <w:overflowPunct/>
              <w:topLinePunct w:val="0"/>
              <w:autoSpaceDE/>
              <w:autoSpaceDN/>
              <w:bidi w:val="0"/>
              <w:spacing w:line="560" w:lineRule="exact"/>
              <w:jc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3,750,932.43</w:t>
            </w:r>
          </w:p>
          <w:p w14:paraId="155B53A9">
            <w:pPr>
              <w:keepNext w:val="0"/>
              <w:keepLines w:val="0"/>
              <w:pageBreakBefore w:val="0"/>
              <w:widowControl/>
              <w:kinsoku/>
              <w:wordWrap/>
              <w:overflowPunct/>
              <w:topLinePunct w:val="0"/>
              <w:autoSpaceDE/>
              <w:autoSpaceDN/>
              <w:bidi w:val="0"/>
              <w:spacing w:line="560" w:lineRule="exact"/>
              <w:jc w:val="center"/>
              <w:textAlignment w:val="center"/>
              <w:rPr>
                <w:rFonts w:hint="eastAsia" w:asciiTheme="majorEastAsia" w:hAnsiTheme="majorEastAsia" w:eastAsiaTheme="majorEastAsia" w:cstheme="majorEastAsia"/>
                <w:color w:val="000000"/>
                <w:sz w:val="24"/>
                <w:szCs w:val="24"/>
              </w:rPr>
            </w:pP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3308A">
            <w:pPr>
              <w:keepNext w:val="0"/>
              <w:keepLines w:val="0"/>
              <w:pageBreakBefore w:val="0"/>
              <w:widowControl/>
              <w:kinsoku/>
              <w:wordWrap/>
              <w:overflowPunct/>
              <w:topLinePunct w:val="0"/>
              <w:autoSpaceDE/>
              <w:autoSpaceDN/>
              <w:bidi w:val="0"/>
              <w:adjustRightInd w:val="0"/>
              <w:snapToGrid w:val="0"/>
              <w:spacing w:line="560" w:lineRule="exact"/>
              <w:ind w:firstLine="360" w:firstLineChars="150"/>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98.71%</w:t>
            </w:r>
          </w:p>
        </w:tc>
      </w:tr>
      <w:tr w14:paraId="777CAFB8">
        <w:tblPrEx>
          <w:tblCellMar>
            <w:top w:w="0" w:type="dxa"/>
            <w:left w:w="108" w:type="dxa"/>
            <w:bottom w:w="0" w:type="dxa"/>
            <w:right w:w="108" w:type="dxa"/>
          </w:tblCellMar>
        </w:tblPrEx>
        <w:trPr>
          <w:trHeight w:val="494"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003A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5</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1FE28">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与在京国际商会联络服务对话系列活动</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61677">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270,700.00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F84AF">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58,020.00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C5F48">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21.43%</w:t>
            </w:r>
          </w:p>
        </w:tc>
      </w:tr>
      <w:tr w14:paraId="3B3BBEFB">
        <w:tblPrEx>
          <w:tblCellMar>
            <w:top w:w="0" w:type="dxa"/>
            <w:left w:w="108" w:type="dxa"/>
            <w:bottom w:w="0" w:type="dxa"/>
            <w:right w:w="108" w:type="dxa"/>
          </w:tblCellMar>
        </w:tblPrEx>
        <w:trPr>
          <w:trHeight w:val="651"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439FE">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6</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E5DA5">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绩效/评审/采购等管理经费</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895C7">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450,000.00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0AEAA">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448,180.00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501C0">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99.60%</w:t>
            </w:r>
          </w:p>
        </w:tc>
      </w:tr>
      <w:tr w14:paraId="772760A4">
        <w:tblPrEx>
          <w:tblCellMar>
            <w:top w:w="0" w:type="dxa"/>
            <w:left w:w="108" w:type="dxa"/>
            <w:bottom w:w="0" w:type="dxa"/>
            <w:right w:w="108" w:type="dxa"/>
          </w:tblCellMar>
        </w:tblPrEx>
        <w:trPr>
          <w:trHeight w:val="472"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FB11E">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7</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7EF99">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法律顾问费</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50B1D">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72,000.00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56617">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72,000.00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7747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67DB81F2">
        <w:tblPrEx>
          <w:tblCellMar>
            <w:top w:w="0" w:type="dxa"/>
            <w:left w:w="108" w:type="dxa"/>
            <w:bottom w:w="0" w:type="dxa"/>
            <w:right w:w="108" w:type="dxa"/>
          </w:tblCellMar>
        </w:tblPrEx>
        <w:trPr>
          <w:trHeight w:val="51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7C8F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8</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4461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舆情监测及舆情信息分析提供</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A006A">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253,325.00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8CA0B">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253,325.00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90DD1">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6E777B5A">
        <w:tblPrEx>
          <w:tblCellMar>
            <w:top w:w="0" w:type="dxa"/>
            <w:left w:w="108" w:type="dxa"/>
            <w:bottom w:w="0" w:type="dxa"/>
            <w:right w:w="108" w:type="dxa"/>
          </w:tblCellMar>
        </w:tblPrEx>
        <w:trPr>
          <w:trHeight w:val="458"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E332F">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9</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CB2D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境内投资推介系列活动</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40C50">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1,373,919.00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4C354">
            <w:pPr>
              <w:keepNext w:val="0"/>
              <w:keepLines w:val="0"/>
              <w:pageBreakBefore w:val="0"/>
              <w:widowControl/>
              <w:kinsoku/>
              <w:wordWrap/>
              <w:overflowPunct/>
              <w:topLinePunct w:val="0"/>
              <w:autoSpaceDE/>
              <w:autoSpaceDN/>
              <w:bidi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1,108,584.00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12BB9">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80.69%</w:t>
            </w:r>
          </w:p>
        </w:tc>
      </w:tr>
      <w:tr w14:paraId="4F5964A4">
        <w:tblPrEx>
          <w:tblCellMar>
            <w:top w:w="0" w:type="dxa"/>
            <w:left w:w="108" w:type="dxa"/>
            <w:bottom w:w="0" w:type="dxa"/>
            <w:right w:w="108" w:type="dxa"/>
          </w:tblCellMar>
        </w:tblPrEx>
        <w:trPr>
          <w:trHeight w:val="72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B2AD2">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10</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2E329">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“两区”政策海外云推介活动</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28706">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1,195,000.00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126FE">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955,850.00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9CFF4">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79.99%</w:t>
            </w:r>
          </w:p>
        </w:tc>
      </w:tr>
      <w:tr w14:paraId="0BD3E6E6">
        <w:tblPrEx>
          <w:tblCellMar>
            <w:top w:w="0" w:type="dxa"/>
            <w:left w:w="108" w:type="dxa"/>
            <w:bottom w:w="0" w:type="dxa"/>
            <w:right w:w="108" w:type="dxa"/>
          </w:tblCellMar>
        </w:tblPrEx>
        <w:trPr>
          <w:trHeight w:val="477"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D58B7">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11</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59630">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中国国际投资贸易洽谈会</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B7375">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541,820.00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6EF78">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537,220.00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D2641">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99.15%</w:t>
            </w:r>
          </w:p>
        </w:tc>
      </w:tr>
      <w:tr w14:paraId="1C282D7B">
        <w:tblPrEx>
          <w:tblCellMar>
            <w:top w:w="0" w:type="dxa"/>
            <w:left w:w="108" w:type="dxa"/>
            <w:bottom w:w="0" w:type="dxa"/>
            <w:right w:w="108" w:type="dxa"/>
          </w:tblCellMar>
        </w:tblPrEx>
        <w:trPr>
          <w:trHeight w:val="49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276A1">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12</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45362">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投资北京洽谈会</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8B37E">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745,160.13</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8C68A">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745,160.13</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F3F09">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764A0EAD">
        <w:tblPrEx>
          <w:tblCellMar>
            <w:top w:w="0" w:type="dxa"/>
            <w:left w:w="108" w:type="dxa"/>
            <w:bottom w:w="0" w:type="dxa"/>
            <w:right w:w="108" w:type="dxa"/>
          </w:tblCellMar>
        </w:tblPrEx>
        <w:trPr>
          <w:trHeight w:val="391"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3B0B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13</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FFB0E">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“一带一路”双向投资推介及政策解读系列活动</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4FFA5">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496,000.00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EFF2E">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496,000.00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624CD">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3A7E1527">
        <w:tblPrEx>
          <w:tblCellMar>
            <w:top w:w="0" w:type="dxa"/>
            <w:left w:w="108" w:type="dxa"/>
            <w:bottom w:w="0" w:type="dxa"/>
            <w:right w:w="108" w:type="dxa"/>
          </w:tblCellMar>
        </w:tblPrEx>
        <w:trPr>
          <w:trHeight w:val="50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2EF91">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14</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893A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北京市对外招商推介宣传片</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7B562">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1,463,200.00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3404A">
            <w:pPr>
              <w:keepNext w:val="0"/>
              <w:keepLines w:val="0"/>
              <w:pageBreakBefore w:val="0"/>
              <w:widowControl/>
              <w:kinsoku/>
              <w:wordWrap/>
              <w:overflowPunct/>
              <w:topLinePunct w:val="0"/>
              <w:autoSpaceDE/>
              <w:autoSpaceDN/>
              <w:bidi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1,463,200.00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2419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775F4A78">
        <w:tblPrEx>
          <w:tblCellMar>
            <w:top w:w="0" w:type="dxa"/>
            <w:left w:w="108" w:type="dxa"/>
            <w:bottom w:w="0" w:type="dxa"/>
            <w:right w:w="108" w:type="dxa"/>
          </w:tblCellMar>
        </w:tblPrEx>
        <w:trPr>
          <w:trHeight w:val="90"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0F85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15</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91AEE">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北京投资服务网资料征集与编译</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D176D">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331,000.00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FB28B">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280,800.00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16CCE">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84.83%</w:t>
            </w:r>
          </w:p>
        </w:tc>
      </w:tr>
      <w:tr w14:paraId="3A17CED4">
        <w:tblPrEx>
          <w:tblCellMar>
            <w:top w:w="0" w:type="dxa"/>
            <w:left w:w="108" w:type="dxa"/>
            <w:bottom w:w="0" w:type="dxa"/>
            <w:right w:w="108" w:type="dxa"/>
          </w:tblCellMar>
        </w:tblPrEx>
        <w:trPr>
          <w:trHeight w:val="74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AF44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16</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983F5">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新媒体宣传推广项目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D91C0">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393,600.00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BEC8A">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393,600.00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8800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723C3871">
        <w:tblPrEx>
          <w:tblCellMar>
            <w:top w:w="0" w:type="dxa"/>
            <w:left w:w="108" w:type="dxa"/>
            <w:bottom w:w="0" w:type="dxa"/>
            <w:right w:w="108" w:type="dxa"/>
          </w:tblCellMar>
        </w:tblPrEx>
        <w:trPr>
          <w:trHeight w:val="547"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0C267">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17</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BE7B9">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北京12345企业热线大数据分析服务</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4B349">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314,820.00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A8954">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314,820.00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B54A7">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67564237">
        <w:tblPrEx>
          <w:tblCellMar>
            <w:top w:w="0" w:type="dxa"/>
            <w:left w:w="108" w:type="dxa"/>
            <w:bottom w:w="0" w:type="dxa"/>
            <w:right w:w="108" w:type="dxa"/>
          </w:tblCellMar>
        </w:tblPrEx>
        <w:trPr>
          <w:trHeight w:val="77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3BA0F">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18</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06E14">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北京市数字招商服务信息化项目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6835B">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7,085,200.00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E1B47">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7,021,500.00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57B2F">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99.10%</w:t>
            </w:r>
          </w:p>
        </w:tc>
      </w:tr>
      <w:tr w14:paraId="7C545928">
        <w:tblPrEx>
          <w:tblCellMar>
            <w:top w:w="0" w:type="dxa"/>
            <w:left w:w="108" w:type="dxa"/>
            <w:bottom w:w="0" w:type="dxa"/>
            <w:right w:w="108" w:type="dxa"/>
          </w:tblCellMar>
        </w:tblPrEx>
        <w:trPr>
          <w:trHeight w:val="714"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691A3">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19</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FE4C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运行保障项目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61FCC">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142,671.00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F43DC">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142,671.00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86CEF">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5033EEA7">
        <w:tblPrEx>
          <w:tblCellMar>
            <w:top w:w="0" w:type="dxa"/>
            <w:left w:w="108" w:type="dxa"/>
            <w:bottom w:w="0" w:type="dxa"/>
            <w:right w:w="108" w:type="dxa"/>
          </w:tblCellMar>
        </w:tblPrEx>
        <w:trPr>
          <w:trHeight w:val="701"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8BCF2">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20</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7C4D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北京市投资促进项目管理系统运行维护</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31DDC">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213,120.00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D41C6">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211,120.00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90FEC">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99.06%</w:t>
            </w:r>
          </w:p>
        </w:tc>
      </w:tr>
      <w:tr w14:paraId="62E8F76E">
        <w:tblPrEx>
          <w:tblCellMar>
            <w:top w:w="0" w:type="dxa"/>
            <w:left w:w="108" w:type="dxa"/>
            <w:bottom w:w="0" w:type="dxa"/>
            <w:right w:w="108" w:type="dxa"/>
          </w:tblCellMar>
        </w:tblPrEx>
        <w:trPr>
          <w:trHeight w:val="512"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959D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21</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F4BF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全市招商引资大数据综合服务平台项目</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4BD37">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92,400.00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679AA">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92,400.00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2C25C">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15BEF69E">
        <w:tblPrEx>
          <w:tblCellMar>
            <w:top w:w="0" w:type="dxa"/>
            <w:left w:w="108" w:type="dxa"/>
            <w:bottom w:w="0" w:type="dxa"/>
            <w:right w:w="108" w:type="dxa"/>
          </w:tblCellMar>
        </w:tblPrEx>
        <w:trPr>
          <w:trHeight w:val="534"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82214">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22</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A9E4B">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赴港活动经费</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2567A">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10,000.00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5472C">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10,000.00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68874">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32F5B500">
        <w:tblPrEx>
          <w:tblCellMar>
            <w:top w:w="0" w:type="dxa"/>
            <w:left w:w="108" w:type="dxa"/>
            <w:bottom w:w="0" w:type="dxa"/>
            <w:right w:w="108" w:type="dxa"/>
          </w:tblCellMar>
        </w:tblPrEx>
        <w:trPr>
          <w:trHeight w:val="764"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3752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23</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5AF35">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信息化运维服务</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AE2FD">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905,604.00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FD973">
            <w:pPr>
              <w:keepNext w:val="0"/>
              <w:keepLines w:val="0"/>
              <w:pageBreakBefore w:val="0"/>
              <w:widowControl/>
              <w:kinsoku/>
              <w:wordWrap/>
              <w:overflowPunct/>
              <w:topLinePunct w:val="0"/>
              <w:autoSpaceDE/>
              <w:autoSpaceDN/>
              <w:bidi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905,604.00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56F8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4D74C833">
        <w:tblPrEx>
          <w:tblCellMar>
            <w:top w:w="0" w:type="dxa"/>
            <w:left w:w="108" w:type="dxa"/>
            <w:bottom w:w="0" w:type="dxa"/>
            <w:right w:w="108" w:type="dxa"/>
          </w:tblCellMar>
        </w:tblPrEx>
        <w:trPr>
          <w:trHeight w:val="456"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A7048">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24</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3451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机构运转经费</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43D6C">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210,789.50</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5BF8B">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204,834.50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2F866">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97.17%</w:t>
            </w:r>
          </w:p>
        </w:tc>
      </w:tr>
      <w:tr w14:paraId="7EA889A4">
        <w:tblPrEx>
          <w:tblCellMar>
            <w:top w:w="0" w:type="dxa"/>
            <w:left w:w="108" w:type="dxa"/>
            <w:bottom w:w="0" w:type="dxa"/>
            <w:right w:w="108" w:type="dxa"/>
          </w:tblCellMar>
        </w:tblPrEx>
        <w:trPr>
          <w:trHeight w:val="469"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6F0E3">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25</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A8530">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机动经费</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A6469">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1,465,135.51</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394B2">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884,073.00</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0FC94">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60.34%</w:t>
            </w:r>
          </w:p>
        </w:tc>
      </w:tr>
      <w:tr w14:paraId="426326A2">
        <w:tblPrEx>
          <w:tblCellMar>
            <w:top w:w="0" w:type="dxa"/>
            <w:left w:w="108" w:type="dxa"/>
            <w:bottom w:w="0" w:type="dxa"/>
            <w:right w:w="108" w:type="dxa"/>
          </w:tblCellMar>
        </w:tblPrEx>
        <w:trPr>
          <w:trHeight w:val="440" w:hRule="atLeast"/>
          <w:jc w:val="center"/>
        </w:trPr>
        <w:tc>
          <w:tcPr>
            <w:tcW w:w="7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F3D3F">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26</w:t>
            </w:r>
          </w:p>
        </w:tc>
        <w:tc>
          <w:tcPr>
            <w:tcW w:w="2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ADB5A">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kern w:val="0"/>
                <w:sz w:val="24"/>
                <w:szCs w:val="24"/>
                <w:lang w:bidi="ar"/>
              </w:rPr>
              <w:t>搬家及开办经费</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3346F">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1,456,109.01</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495B1">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1,456,109.01</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B5F53">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100%</w:t>
            </w:r>
          </w:p>
        </w:tc>
      </w:tr>
      <w:tr w14:paraId="1410F7E5">
        <w:tblPrEx>
          <w:tblCellMar>
            <w:top w:w="0" w:type="dxa"/>
            <w:left w:w="108" w:type="dxa"/>
            <w:bottom w:w="0" w:type="dxa"/>
            <w:right w:w="108" w:type="dxa"/>
          </w:tblCellMar>
        </w:tblPrEx>
        <w:trPr>
          <w:trHeight w:val="497" w:hRule="atLeast"/>
          <w:jc w:val="center"/>
        </w:trPr>
        <w:tc>
          <w:tcPr>
            <w:tcW w:w="322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DDFA9">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合  计</w:t>
            </w:r>
          </w:p>
        </w:tc>
        <w:tc>
          <w:tcPr>
            <w:tcW w:w="1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3C52E">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28,893,673.36</w:t>
            </w:r>
          </w:p>
        </w:tc>
        <w:tc>
          <w:tcPr>
            <w:tcW w:w="19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ACF02">
            <w:pPr>
              <w:keepNext w:val="0"/>
              <w:keepLines w:val="0"/>
              <w:pageBreakBefore w:val="0"/>
              <w:widowControl/>
              <w:kinsoku/>
              <w:wordWrap/>
              <w:overflowPunct/>
              <w:topLinePunct w:val="0"/>
              <w:autoSpaceDE/>
              <w:autoSpaceDN/>
              <w:bidi w:val="0"/>
              <w:spacing w:line="560" w:lineRule="exact"/>
              <w:ind w:firstLine="240" w:firstLineChars="100"/>
              <w:jc w:val="center"/>
              <w:textAlignment w:val="center"/>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25,600,962.24</w:t>
            </w:r>
          </w:p>
        </w:tc>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D4B81">
            <w:pPr>
              <w:keepNext w:val="0"/>
              <w:keepLines w:val="0"/>
              <w:pageBreakBefore w:val="0"/>
              <w:widowControl/>
              <w:kinsoku/>
              <w:wordWrap/>
              <w:overflowPunct/>
              <w:topLinePunct w:val="0"/>
              <w:autoSpaceDE/>
              <w:autoSpaceDN/>
              <w:bidi w:val="0"/>
              <w:adjustRightInd w:val="0"/>
              <w:snapToGrid w:val="0"/>
              <w:spacing w:line="560" w:lineRule="exact"/>
              <w:jc w:val="center"/>
              <w:textAlignment w:val="center"/>
              <w:rPr>
                <w:rFonts w:hint="eastAsia" w:asciiTheme="majorEastAsia" w:hAnsiTheme="majorEastAsia" w:eastAsiaTheme="majorEastAsia" w:cstheme="majorEastAsia"/>
                <w:color w:val="000000"/>
                <w:kern w:val="0"/>
                <w:sz w:val="24"/>
                <w:szCs w:val="24"/>
                <w:lang w:bidi="ar"/>
              </w:rPr>
            </w:pPr>
            <w:r>
              <w:rPr>
                <w:rFonts w:hint="eastAsia" w:asciiTheme="majorEastAsia" w:hAnsiTheme="majorEastAsia" w:eastAsiaTheme="majorEastAsia" w:cstheme="majorEastAsia"/>
                <w:color w:val="000000"/>
                <w:kern w:val="0"/>
                <w:sz w:val="24"/>
                <w:szCs w:val="24"/>
                <w:lang w:bidi="ar"/>
              </w:rPr>
              <w:t>88.60%</w:t>
            </w:r>
          </w:p>
        </w:tc>
      </w:tr>
    </w:tbl>
    <w:p w14:paraId="2E64922D">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4.产出成本  </w:t>
      </w:r>
    </w:p>
    <w:p w14:paraId="0B788733">
      <w:pPr>
        <w:pStyle w:val="4"/>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rPr>
      </w:pPr>
      <w:r>
        <w:rPr>
          <w:rFonts w:hint="eastAsia" w:ascii="仿宋_GB2312" w:hAnsi="仿宋_GB2312" w:eastAsia="仿宋_GB2312" w:cs="仿宋_GB2312"/>
        </w:rPr>
        <w:t>2023年度公用经费决算支出284.168338万元比2022年度354.18478万元减少了70.016442万元。</w:t>
      </w:r>
      <w:r>
        <w:rPr>
          <w:rFonts w:hint="eastAsia" w:ascii="仿宋_GB2312" w:hAnsi="仿宋_GB2312" w:eastAsia="仿宋_GB2312" w:cs="仿宋_GB2312"/>
          <w:szCs w:val="32"/>
          <w:highlight w:val="none"/>
        </w:rPr>
        <w:t>各项目共设置产出成本指标2</w:t>
      </w:r>
      <w:r>
        <w:rPr>
          <w:rFonts w:hint="eastAsia" w:ascii="仿宋_GB2312" w:hAnsi="仿宋_GB2312" w:cs="仿宋_GB2312"/>
          <w:szCs w:val="32"/>
          <w:highlight w:val="none"/>
          <w:lang w:val="en-US" w:eastAsia="zh-CN"/>
        </w:rPr>
        <w:t>7</w:t>
      </w:r>
      <w:r>
        <w:rPr>
          <w:rFonts w:hint="eastAsia" w:ascii="仿宋_GB2312" w:hAnsi="仿宋_GB2312" w:eastAsia="仿宋_GB2312" w:cs="仿宋_GB2312"/>
          <w:szCs w:val="32"/>
          <w:highlight w:val="none"/>
        </w:rPr>
        <w:t>个，指标值完成率总体为100%。</w:t>
      </w:r>
    </w:p>
    <w:p w14:paraId="386B3BE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6" w:name="_Toc23306"/>
      <w:r>
        <w:rPr>
          <w:rFonts w:hint="eastAsia" w:ascii="楷体_GB2312" w:hAnsi="楷体_GB2312" w:eastAsia="楷体_GB2312" w:cs="楷体_GB2312"/>
          <w:b/>
          <w:bCs/>
          <w:sz w:val="32"/>
          <w:szCs w:val="32"/>
        </w:rPr>
        <w:t>（二）效果实现情况分析</w:t>
      </w:r>
      <w:bookmarkEnd w:id="6"/>
    </w:p>
    <w:p w14:paraId="2A829E7D">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仿宋_GB2312" w:hAnsi="仿宋_GB2312" w:eastAsia="仿宋_GB2312" w:cs="仿宋_GB2312"/>
          <w:sz w:val="32"/>
          <w:szCs w:val="32"/>
          <w:highlight w:val="yellow"/>
        </w:rPr>
      </w:pP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val="en-US" w:eastAsia="zh-CN"/>
        </w:rPr>
        <w:t>社会</w:t>
      </w:r>
      <w:r>
        <w:rPr>
          <w:rFonts w:hint="eastAsia" w:ascii="仿宋_GB2312" w:hAnsi="仿宋_GB2312" w:eastAsia="仿宋_GB2312" w:cs="仿宋_GB2312"/>
          <w:sz w:val="32"/>
          <w:szCs w:val="32"/>
        </w:rPr>
        <w:t>效益</w:t>
      </w:r>
      <w:bookmarkStart w:id="7" w:name="_Hlk112008221"/>
    </w:p>
    <w:bookmarkEnd w:id="7"/>
    <w:p w14:paraId="4C77305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组织开展全球合作伙伴房山行、昌平行、大兴行、东城行和副中心行等活动，促进合作伙伴与各区交流合作。发挥合作伙伴作用，协助邀请300家企业参加本市各类投资推介活动。</w:t>
      </w:r>
    </w:p>
    <w:p w14:paraId="55DC29CB">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15个区和经开区通过直接派驻、与中介机构合作等方式在境内外布局招商站点，2023年新增招商站点42个，总数达65个。</w:t>
      </w:r>
    </w:p>
    <w:p w14:paraId="6AD69AC2">
      <w:pPr>
        <w:pStyle w:val="14"/>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eastAsia="仿宋_GB2312"/>
          <w:lang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加强与国际投资促进机构交流合作。加入世界投资促进机构协会完成入会协议签署，与中欧投资促进会等17家发达国家（地区）商协会和德国联邦经济发展与对外贸易委员会等4家境外投促机构建立联系，国际招商渠道进一步拓展。</w:t>
      </w:r>
    </w:p>
    <w:p w14:paraId="7B607A65">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仿宋_GB2312" w:hAnsi="仿宋_GB2312" w:eastAsia="仿宋_GB2312" w:cs="仿宋_GB2312"/>
          <w:sz w:val="32"/>
          <w:szCs w:val="32"/>
        </w:rPr>
      </w:pPr>
      <w:bookmarkStart w:id="8" w:name="_Hlk112008234"/>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.服务对象满意度</w:t>
      </w:r>
    </w:p>
    <w:p w14:paraId="4066A33F">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用好12345企业服务热线等平台，强化政策宣传和咨询解读。</w:t>
      </w:r>
      <w:r>
        <w:rPr>
          <w:rFonts w:hint="eastAsia" w:ascii="仿宋_GB2312" w:hAnsi="仿宋_GB2312" w:eastAsia="仿宋_GB2312" w:cs="仿宋_GB2312"/>
          <w:sz w:val="32"/>
          <w:szCs w:val="32"/>
          <w:lang w:val="en-US" w:eastAsia="zh-CN"/>
        </w:rPr>
        <w:t>2023年，平台</w:t>
      </w:r>
      <w:r>
        <w:rPr>
          <w:rFonts w:hint="eastAsia" w:ascii="仿宋_GB2312" w:hAnsi="仿宋_GB2312" w:eastAsia="仿宋_GB2312" w:cs="仿宋_GB2312"/>
          <w:sz w:val="32"/>
          <w:szCs w:val="32"/>
        </w:rPr>
        <w:t>服务专员协调各区、相关部门办理企业诉求2349条，已办结2296条,办结率97.7%。12345企业热线服务受理疑难工单257件，已全部办结。</w:t>
      </w:r>
    </w:p>
    <w:bookmarkEnd w:id="8"/>
    <w:p w14:paraId="1B830F95">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sz w:val="32"/>
          <w:szCs w:val="32"/>
        </w:rPr>
      </w:pPr>
      <w:bookmarkStart w:id="9" w:name="_Toc1075"/>
      <w:r>
        <w:rPr>
          <w:rFonts w:hint="eastAsia" w:ascii="黑体" w:hAnsi="黑体" w:eastAsia="黑体" w:cs="黑体"/>
          <w:sz w:val="32"/>
          <w:szCs w:val="32"/>
        </w:rPr>
        <w:t>四、预算管理情况分析</w:t>
      </w:r>
      <w:bookmarkEnd w:id="9"/>
    </w:p>
    <w:p w14:paraId="11CD9084">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0" w:name="_Toc30047"/>
      <w:r>
        <w:rPr>
          <w:rFonts w:hint="eastAsia" w:ascii="楷体_GB2312" w:hAnsi="楷体_GB2312" w:eastAsia="楷体_GB2312" w:cs="楷体_GB2312"/>
          <w:b/>
          <w:bCs/>
          <w:sz w:val="32"/>
          <w:szCs w:val="32"/>
        </w:rPr>
        <w:t>（一）财务管理</w:t>
      </w:r>
      <w:bookmarkEnd w:id="10"/>
    </w:p>
    <w:p w14:paraId="428C479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1.财务管理制度健全性</w:t>
      </w:r>
    </w:p>
    <w:p w14:paraId="01AA3F4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预算管理办法、预算绩效管理办法、资金支出管理办法等各项制度健全；部门综合财务管理制度完整、合规；会计核算制度完整、合规。</w:t>
      </w:r>
    </w:p>
    <w:p w14:paraId="0C18BF5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2.资金使用合规性和安全性</w:t>
      </w:r>
    </w:p>
    <w:p w14:paraId="7EA58DA6">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资金使用符合国家财经法规和本中心财务管理制度规定以及有关专项资金管理办法的规定；资金的拨付做到有完整的审批程序和手续；项目的重大开支经过上会决策；资金使用符合政府采购的程序和流程；能够按照公务卡结算相关制度和规定执行。</w:t>
      </w:r>
    </w:p>
    <w:p w14:paraId="534ED47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3.会计基础信息完善性</w:t>
      </w:r>
    </w:p>
    <w:p w14:paraId="59F1DA1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rPr>
        <w:t>在项目实施过程中，按规定设专账核算，各项开支严格按照审批程序执行，符合北京市财政局及</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rPr>
        <w:t>财务制度要求，按标准支出，无虚列支出、无截留、挤占、挪用资金情况，能够严格按照专款专用的原则实行项目管理，财务核算资料完整、真实、准确。</w:t>
      </w:r>
    </w:p>
    <w:p w14:paraId="63EDC49D">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highlight w:val="none"/>
        </w:rPr>
      </w:pPr>
      <w:bookmarkStart w:id="11" w:name="_Toc14995"/>
      <w:r>
        <w:rPr>
          <w:rFonts w:hint="eastAsia" w:ascii="楷体_GB2312" w:hAnsi="楷体_GB2312" w:eastAsia="楷体_GB2312" w:cs="楷体_GB2312"/>
          <w:b/>
          <w:bCs/>
          <w:sz w:val="32"/>
          <w:szCs w:val="32"/>
          <w:highlight w:val="none"/>
        </w:rPr>
        <w:t>（二）资产管理</w:t>
      </w:r>
      <w:bookmarkEnd w:id="11"/>
    </w:p>
    <w:p w14:paraId="5FA03F0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宋体" w:eastAsia="仿宋_GB2312" w:cs="宋体"/>
          <w:color w:val="auto"/>
          <w:kern w:val="0"/>
          <w:sz w:val="32"/>
          <w:szCs w:val="32"/>
          <w:highlight w:val="none"/>
        </w:rPr>
        <w:t>根据《行政单位国有资产管理暂行办法》《事业单位国有资产管理暂行办法》和《行政事业单位固定资产管理暂行办法》及财政部相关规定，结合单位实际情况，</w:t>
      </w:r>
      <w:r>
        <w:rPr>
          <w:rFonts w:hint="eastAsia" w:ascii="仿宋_GB2312" w:hAnsi="仿宋_GB2312" w:eastAsia="仿宋_GB2312" w:cs="仿宋_GB2312"/>
          <w:bCs/>
          <w:kern w:val="0"/>
          <w:sz w:val="32"/>
          <w:szCs w:val="28"/>
          <w:lang w:val="en-US" w:eastAsia="zh-CN"/>
        </w:rPr>
        <w:t>市投资促进中心</w:t>
      </w:r>
      <w:r>
        <w:rPr>
          <w:rFonts w:hint="eastAsia" w:ascii="仿宋_GB2312" w:hAnsi="宋体" w:eastAsia="仿宋_GB2312" w:cs="宋体"/>
          <w:color w:val="auto"/>
          <w:kern w:val="0"/>
          <w:sz w:val="32"/>
          <w:szCs w:val="32"/>
          <w:highlight w:val="none"/>
        </w:rPr>
        <w:t>制定了《</w:t>
      </w:r>
      <w:r>
        <w:rPr>
          <w:rFonts w:hint="eastAsia" w:ascii="仿宋_GB2312" w:hAnsi="宋体" w:eastAsia="仿宋_GB2312" w:cs="宋体"/>
          <w:color w:val="auto"/>
          <w:kern w:val="0"/>
          <w:sz w:val="32"/>
          <w:szCs w:val="32"/>
          <w:highlight w:val="none"/>
          <w:lang w:val="en-US" w:eastAsia="zh-CN"/>
        </w:rPr>
        <w:t>北京市投资促进服务中心</w:t>
      </w:r>
      <w:r>
        <w:rPr>
          <w:rFonts w:hint="eastAsia" w:ascii="仿宋_GB2312" w:hAnsi="宋体" w:eastAsia="仿宋_GB2312" w:cs="宋体"/>
          <w:color w:val="auto"/>
          <w:kern w:val="0"/>
          <w:sz w:val="32"/>
          <w:szCs w:val="32"/>
          <w:highlight w:val="none"/>
        </w:rPr>
        <w:t>固定资产管理办法》《北京市</w:t>
      </w:r>
      <w:r>
        <w:rPr>
          <w:rFonts w:hint="eastAsia" w:ascii="仿宋_GB2312" w:hAnsi="宋体" w:eastAsia="仿宋_GB2312" w:cs="宋体"/>
          <w:color w:val="auto"/>
          <w:kern w:val="0"/>
          <w:sz w:val="32"/>
          <w:szCs w:val="32"/>
          <w:highlight w:val="none"/>
          <w:lang w:val="en-US" w:eastAsia="zh-CN"/>
        </w:rPr>
        <w:t>投资促进服务中心无形资产管理办法（试行）</w:t>
      </w:r>
      <w:r>
        <w:rPr>
          <w:rFonts w:hint="eastAsia" w:ascii="仿宋_GB2312" w:hAnsi="宋体" w:eastAsia="仿宋_GB2312" w:cs="宋体"/>
          <w:color w:val="auto"/>
          <w:kern w:val="0"/>
          <w:sz w:val="32"/>
          <w:szCs w:val="32"/>
          <w:highlight w:val="none"/>
        </w:rPr>
        <w:t>》</w:t>
      </w:r>
      <w:r>
        <w:rPr>
          <w:rFonts w:hint="eastAsia" w:ascii="仿宋_GB2312" w:hAnsi="宋体" w:eastAsia="仿宋_GB2312" w:cs="宋体"/>
          <w:color w:val="auto"/>
          <w:kern w:val="0"/>
          <w:sz w:val="32"/>
          <w:szCs w:val="32"/>
          <w:highlight w:val="none"/>
          <w:lang w:val="en-US" w:eastAsia="zh-CN"/>
        </w:rPr>
        <w:t>和《北京市投资促进服务中心货币资金管理办法》</w:t>
      </w:r>
      <w:r>
        <w:rPr>
          <w:rFonts w:hint="eastAsia" w:ascii="仿宋_GB2312" w:hAnsi="宋体" w:eastAsia="仿宋_GB2312" w:cs="宋体"/>
          <w:color w:val="auto"/>
          <w:kern w:val="0"/>
          <w:sz w:val="32"/>
          <w:szCs w:val="32"/>
          <w:highlight w:val="none"/>
        </w:rPr>
        <w:t>，</w:t>
      </w:r>
      <w:r>
        <w:rPr>
          <w:rFonts w:hint="eastAsia" w:ascii="仿宋_GB2312" w:hAnsi="宋体" w:eastAsia="仿宋_GB2312" w:cs="宋体"/>
          <w:color w:val="auto"/>
          <w:kern w:val="0"/>
          <w:sz w:val="32"/>
          <w:szCs w:val="32"/>
          <w:highlight w:val="none"/>
          <w:lang w:eastAsia="zh-CN"/>
        </w:rPr>
        <w:t>明确了资产管理部门及职责、资产配置、资产管理、资产处置、资产出租出借等相关要求，</w:t>
      </w:r>
      <w:r>
        <w:rPr>
          <w:rFonts w:hint="eastAsia" w:ascii="仿宋_GB2312" w:hAnsi="宋体" w:eastAsia="仿宋_GB2312" w:cs="宋体"/>
          <w:color w:val="auto"/>
          <w:kern w:val="0"/>
          <w:sz w:val="32"/>
          <w:szCs w:val="32"/>
          <w:highlight w:val="none"/>
        </w:rPr>
        <w:t>规范和加强了</w:t>
      </w:r>
      <w:r>
        <w:rPr>
          <w:rFonts w:hint="eastAsia" w:ascii="仿宋_GB2312" w:hAnsi="宋体" w:eastAsia="仿宋_GB2312" w:cs="宋体"/>
          <w:color w:val="auto"/>
          <w:kern w:val="0"/>
          <w:sz w:val="32"/>
          <w:szCs w:val="32"/>
          <w:highlight w:val="none"/>
          <w:lang w:val="en-US" w:eastAsia="zh-CN"/>
        </w:rPr>
        <w:t>中心</w:t>
      </w:r>
      <w:r>
        <w:rPr>
          <w:rFonts w:hint="eastAsia" w:ascii="仿宋_GB2312" w:hAnsi="宋体" w:eastAsia="仿宋_GB2312" w:cs="宋体"/>
          <w:color w:val="auto"/>
          <w:kern w:val="0"/>
          <w:sz w:val="32"/>
          <w:szCs w:val="32"/>
          <w:highlight w:val="none"/>
        </w:rPr>
        <w:t>各部门的资产管理工作，维护了国有资产的安全完整、合理配置和有效利用。</w:t>
      </w:r>
    </w:p>
    <w:p w14:paraId="6D21E7E5">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2" w:name="_Toc17598"/>
      <w:r>
        <w:rPr>
          <w:rFonts w:hint="eastAsia" w:ascii="楷体_GB2312" w:hAnsi="楷体_GB2312" w:eastAsia="楷体_GB2312" w:cs="楷体_GB2312"/>
          <w:b/>
          <w:bCs/>
          <w:sz w:val="32"/>
          <w:szCs w:val="32"/>
        </w:rPr>
        <w:t>（三）绩效管理</w:t>
      </w:r>
      <w:bookmarkEnd w:id="12"/>
    </w:p>
    <w:p w14:paraId="5184E88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1.各部门职责</w:t>
      </w:r>
    </w:p>
    <w:p w14:paraId="2E8F9BB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lang w:val="en-US" w:eastAsia="zh-CN"/>
        </w:rPr>
        <w:t>财务处</w:t>
      </w:r>
      <w:r>
        <w:rPr>
          <w:rFonts w:hint="eastAsia" w:ascii="仿宋_GB2312" w:hAnsi="仿宋_GB2312" w:eastAsia="仿宋_GB2312" w:cs="仿宋_GB2312"/>
          <w:sz w:val="32"/>
          <w:szCs w:val="32"/>
        </w:rPr>
        <w:t xml:space="preserve">是绩效管理的牵头部门，审核各预算部门提交的绩效目标，配合财政部门开展事前绩效评估工作；组织预算执行绩效跟踪，并按规定及时将执行中存在的问题和整改措施报财政部门，并组织开展绩效自评工作。    </w:t>
      </w:r>
    </w:p>
    <w:p w14:paraId="057F8EA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各相关部门根据年度工作计划和部门职责，编制年度预算。同时制定清晰、量化的绩效目标，加强项目论证和审核；执行过程中严格按预期的绩效目标组织项目实施；提供绩效评价所需要的相关资料及撰写项目自评报告；根据评价结果查找资金使用和管理中的薄弱环节，制定整改措施，改善绩效管理工作。</w:t>
      </w:r>
    </w:p>
    <w:p w14:paraId="14C8791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rPr>
        <w:t>所有项目在预算编制过程中均填报绩效目标申报表，明确项目总目标，以便进行绩效跟踪、绩效管理，在年度终结后均填报绩效自评表，进行绩效评价，形成闭环管理，指导预算工作，真正提高资金使用效率和效益。</w:t>
      </w:r>
    </w:p>
    <w:p w14:paraId="23BD614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2.项目支出绩效自评</w:t>
      </w:r>
    </w:p>
    <w:p w14:paraId="316380C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2023年度部门项目支出共26个项目，预算批复金额2,889.37万元。其中参与评价项目26个，占部门项目总数的100%，自评情况如下</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具体评分情况见附件2。</w:t>
      </w:r>
    </w:p>
    <w:p w14:paraId="21518D9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（1）重点评价项目1个，为“北京市对外招商推介宣传片”涉及金额146.32万元，评价等级为良。</w:t>
      </w:r>
    </w:p>
    <w:p w14:paraId="6003126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（2）填报绩效自评表项目25个，其中评价等级为优的项目有2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个。</w:t>
      </w:r>
    </w:p>
    <w:p w14:paraId="18CFABFE">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3" w:name="_Toc27929"/>
      <w:r>
        <w:rPr>
          <w:rFonts w:hint="eastAsia" w:ascii="楷体_GB2312" w:hAnsi="楷体_GB2312" w:eastAsia="楷体_GB2312" w:cs="楷体_GB2312"/>
          <w:b/>
          <w:bCs/>
          <w:sz w:val="32"/>
          <w:szCs w:val="32"/>
        </w:rPr>
        <w:t>（四）结转结余率</w:t>
      </w:r>
      <w:bookmarkEnd w:id="13"/>
    </w:p>
    <w:p w14:paraId="3BB4322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2023年全年预算支出7,972.90万元，决算支出6,975.65万元，全年结转942.01万元，结转结余率11.90%；基本支出预算5,083.53万元，决算支出4,415.55万元，年末结转612.74万元，结转结余率7.74%；项目支出预算2,889.37万元，决算支出2,560.10万元，年末结转329.27万元，结转结余率4.16%。</w:t>
      </w:r>
    </w:p>
    <w:p w14:paraId="18E66B68">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4" w:name="_Toc25321"/>
      <w:r>
        <w:rPr>
          <w:rFonts w:hint="eastAsia" w:ascii="楷体_GB2312" w:hAnsi="楷体_GB2312" w:eastAsia="楷体_GB2312" w:cs="楷体_GB2312"/>
          <w:b/>
          <w:bCs/>
          <w:sz w:val="32"/>
          <w:szCs w:val="32"/>
        </w:rPr>
        <w:t>（五）部门预决算差异率</w:t>
      </w:r>
      <w:bookmarkEnd w:id="14"/>
    </w:p>
    <w:p w14:paraId="6D0B40B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2023年全年预算支出7,972.90万元，决算支出6,975.65万元，全年预决算差异率-12.51%；基本支出预算5,083.53万元，决算支出4,415.55万元，预决算差异率-13.14%；项目支出预算2,889.37万元，决算支出2,560.10万元，预决算差异率-11.40%。</w:t>
      </w:r>
    </w:p>
    <w:p w14:paraId="63753AC4">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sz w:val="32"/>
          <w:szCs w:val="32"/>
        </w:rPr>
      </w:pPr>
      <w:bookmarkStart w:id="15" w:name="_Toc10883"/>
      <w:r>
        <w:rPr>
          <w:rFonts w:hint="eastAsia" w:ascii="黑体" w:hAnsi="黑体" w:eastAsia="黑体" w:cs="黑体"/>
          <w:sz w:val="32"/>
          <w:szCs w:val="32"/>
        </w:rPr>
        <w:t>五、总体评价结论</w:t>
      </w:r>
      <w:bookmarkEnd w:id="15"/>
    </w:p>
    <w:p w14:paraId="7049D376">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6" w:name="_Toc14213"/>
      <w:r>
        <w:rPr>
          <w:rFonts w:hint="eastAsia" w:ascii="楷体_GB2312" w:hAnsi="楷体_GB2312" w:eastAsia="楷体_GB2312" w:cs="楷体_GB2312"/>
          <w:b/>
          <w:bCs/>
          <w:sz w:val="32"/>
          <w:szCs w:val="32"/>
        </w:rPr>
        <w:t>（一）评价得分情况</w:t>
      </w:r>
      <w:bookmarkEnd w:id="16"/>
    </w:p>
    <w:p w14:paraId="43A61548">
      <w:pPr>
        <w:keepNext w:val="0"/>
        <w:keepLines w:val="0"/>
        <w:pageBreakBefore w:val="0"/>
        <w:shd w:val="clear" w:color="000000" w:fill="auto"/>
        <w:kinsoku/>
        <w:wordWrap/>
        <w:overflowPunct/>
        <w:topLinePunct w:val="0"/>
        <w:autoSpaceDE/>
        <w:autoSpaceDN/>
        <w:bidi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2023年，</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lang w:val="en-US" w:eastAsia="zh-CN"/>
        </w:rPr>
        <w:t>在市委市政府坚强领导下，</w:t>
      </w:r>
      <w:r>
        <w:rPr>
          <w:rFonts w:hint="eastAsia" w:ascii="仿宋_GB2312" w:hAnsi="仿宋_GB2312" w:eastAsia="仿宋_GB2312" w:cs="仿宋_GB2312"/>
          <w:sz w:val="32"/>
          <w:szCs w:val="32"/>
        </w:rPr>
        <w:t>围绕落实首都城市战略定位，坚持“五子”</w:t>
      </w:r>
      <w:bookmarkStart w:id="23" w:name="_GoBack"/>
      <w:bookmarkEnd w:id="23"/>
      <w:r>
        <w:rPr>
          <w:rFonts w:hint="eastAsia" w:ascii="仿宋_GB2312" w:hAnsi="仿宋_GB2312" w:eastAsia="仿宋_GB2312" w:cs="仿宋_GB2312"/>
          <w:sz w:val="32"/>
          <w:szCs w:val="32"/>
        </w:rPr>
        <w:t>联动服务和融入新发展格局，履职尽责、担当作为，推动全市投资促进工作取得积极成效。通过评价，</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lang w:val="en-US" w:eastAsia="zh-CN"/>
        </w:rPr>
        <w:t>2023年整体支出绩效评价</w:t>
      </w:r>
      <w:r>
        <w:rPr>
          <w:rFonts w:hint="eastAsia" w:ascii="仿宋_GB2312" w:hAnsi="仿宋_GB2312" w:eastAsia="仿宋_GB2312" w:cs="仿宋_GB2312"/>
          <w:sz w:val="32"/>
          <w:szCs w:val="32"/>
        </w:rPr>
        <w:t>综合得分92.5分，绩效评定等级为“优”，各一级指标得分情况如下表所示：</w:t>
      </w:r>
    </w:p>
    <w:p w14:paraId="50B41386">
      <w:pPr>
        <w:keepNext w:val="0"/>
        <w:keepLines w:val="0"/>
        <w:pageBreakBefore w:val="0"/>
        <w:shd w:val="clear" w:color="000000" w:fill="auto"/>
        <w:kinsoku/>
        <w:wordWrap/>
        <w:overflowPunct/>
        <w:topLinePunct w:val="0"/>
        <w:autoSpaceDE/>
        <w:autoSpaceDN/>
        <w:bidi w:val="0"/>
        <w:adjustRightInd w:val="0"/>
        <w:snapToGrid w:val="0"/>
        <w:spacing w:before="219" w:beforeLines="50" w:line="560" w:lineRule="exact"/>
        <w:jc w:val="center"/>
        <w:rPr>
          <w:rFonts w:ascii="Times New Roman" w:hAnsi="Times New Roman" w:eastAsia="黑体" w:cs="Times New Roman"/>
          <w:sz w:val="28"/>
          <w:szCs w:val="28"/>
        </w:rPr>
      </w:pPr>
      <w:r>
        <w:rPr>
          <w:rFonts w:hint="eastAsia" w:ascii="Times New Roman" w:hAnsi="Times New Roman" w:eastAsia="黑体" w:cs="Times New Roman"/>
          <w:sz w:val="28"/>
          <w:szCs w:val="28"/>
          <w:lang w:val="en-US" w:eastAsia="zh-CN"/>
        </w:rPr>
        <w:t>2023</w:t>
      </w:r>
      <w:r>
        <w:rPr>
          <w:rFonts w:ascii="Times New Roman" w:hAnsi="Times New Roman" w:eastAsia="黑体" w:cs="Times New Roman"/>
          <w:sz w:val="28"/>
          <w:szCs w:val="28"/>
        </w:rPr>
        <w:t>年部门整体绩效得分情况表</w:t>
      </w:r>
    </w:p>
    <w:tbl>
      <w:tblPr>
        <w:tblStyle w:val="10"/>
        <w:tblW w:w="88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963"/>
        <w:gridCol w:w="1963"/>
        <w:gridCol w:w="1894"/>
      </w:tblGrid>
      <w:tr w14:paraId="37FF5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blHeader/>
        </w:trPr>
        <w:tc>
          <w:tcPr>
            <w:tcW w:w="3015" w:type="dxa"/>
            <w:vAlign w:val="center"/>
          </w:tcPr>
          <w:p w14:paraId="3C7D9B41">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b/>
                <w:bCs/>
                <w:color w:val="333333"/>
                <w:kern w:val="0"/>
                <w:sz w:val="24"/>
                <w:szCs w:val="24"/>
              </w:rPr>
            </w:pPr>
            <w:r>
              <w:rPr>
                <w:rFonts w:ascii="Times New Roman" w:hAnsi="Times New Roman" w:eastAsia="宋体" w:cs="Times New Roman"/>
                <w:b/>
                <w:bCs/>
                <w:color w:val="333333"/>
                <w:kern w:val="0"/>
                <w:sz w:val="24"/>
                <w:szCs w:val="24"/>
              </w:rPr>
              <w:t>一级指标</w:t>
            </w:r>
          </w:p>
        </w:tc>
        <w:tc>
          <w:tcPr>
            <w:tcW w:w="1963" w:type="dxa"/>
            <w:vAlign w:val="center"/>
          </w:tcPr>
          <w:p w14:paraId="6E3155C3">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b/>
                <w:bCs/>
                <w:color w:val="333333"/>
                <w:kern w:val="0"/>
                <w:sz w:val="24"/>
                <w:szCs w:val="24"/>
              </w:rPr>
            </w:pPr>
            <w:r>
              <w:rPr>
                <w:rFonts w:ascii="Times New Roman" w:hAnsi="Times New Roman" w:eastAsia="宋体" w:cs="Times New Roman"/>
                <w:b/>
                <w:bCs/>
                <w:color w:val="333333"/>
                <w:kern w:val="0"/>
                <w:sz w:val="24"/>
                <w:szCs w:val="24"/>
              </w:rPr>
              <w:t>分值</w:t>
            </w:r>
          </w:p>
        </w:tc>
        <w:tc>
          <w:tcPr>
            <w:tcW w:w="1963" w:type="dxa"/>
            <w:vAlign w:val="center"/>
          </w:tcPr>
          <w:p w14:paraId="748335EB">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b/>
                <w:bCs/>
                <w:color w:val="333333"/>
                <w:kern w:val="0"/>
                <w:sz w:val="24"/>
                <w:szCs w:val="24"/>
              </w:rPr>
            </w:pPr>
            <w:r>
              <w:rPr>
                <w:rFonts w:ascii="Times New Roman" w:hAnsi="Times New Roman" w:eastAsia="宋体" w:cs="Times New Roman"/>
                <w:b/>
                <w:bCs/>
                <w:color w:val="333333"/>
                <w:kern w:val="0"/>
                <w:sz w:val="24"/>
                <w:szCs w:val="24"/>
              </w:rPr>
              <w:t>得分</w:t>
            </w:r>
          </w:p>
        </w:tc>
        <w:tc>
          <w:tcPr>
            <w:tcW w:w="1894" w:type="dxa"/>
            <w:vAlign w:val="center"/>
          </w:tcPr>
          <w:p w14:paraId="3A52CD00">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b/>
                <w:bCs/>
                <w:color w:val="333333"/>
                <w:kern w:val="0"/>
                <w:sz w:val="24"/>
                <w:szCs w:val="24"/>
              </w:rPr>
            </w:pPr>
            <w:r>
              <w:rPr>
                <w:rFonts w:ascii="Times New Roman" w:hAnsi="Times New Roman" w:eastAsia="宋体" w:cs="Times New Roman"/>
                <w:b/>
                <w:bCs/>
                <w:color w:val="333333"/>
                <w:kern w:val="0"/>
                <w:sz w:val="24"/>
                <w:szCs w:val="24"/>
              </w:rPr>
              <w:t>得分率</w:t>
            </w:r>
          </w:p>
        </w:tc>
      </w:tr>
      <w:tr w14:paraId="72B8E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015" w:type="dxa"/>
            <w:vAlign w:val="center"/>
          </w:tcPr>
          <w:p w14:paraId="08830B1D">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当年预算执行情况</w:t>
            </w:r>
          </w:p>
        </w:tc>
        <w:tc>
          <w:tcPr>
            <w:tcW w:w="1963" w:type="dxa"/>
            <w:vAlign w:val="center"/>
          </w:tcPr>
          <w:p w14:paraId="1EA9ED3A">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20</w:t>
            </w:r>
          </w:p>
        </w:tc>
        <w:tc>
          <w:tcPr>
            <w:tcW w:w="1963" w:type="dxa"/>
            <w:vAlign w:val="center"/>
          </w:tcPr>
          <w:p w14:paraId="2B482F5A">
            <w:pPr>
              <w:keepNext w:val="0"/>
              <w:keepLines w:val="0"/>
              <w:pageBreakBefore w:val="0"/>
              <w:widowControl/>
              <w:shd w:val="clear" w:color="010000" w:fill="auto"/>
              <w:kinsoku/>
              <w:wordWrap/>
              <w:overflowPunct/>
              <w:topLinePunct w:val="0"/>
              <w:autoSpaceDE/>
              <w:autoSpaceDN/>
              <w:bidi w:val="0"/>
              <w:spacing w:line="560" w:lineRule="exact"/>
              <w:jc w:val="center"/>
              <w:rPr>
                <w:rFonts w:hint="default" w:ascii="Times New Roman" w:hAnsi="Times New Roman" w:eastAsia="宋体" w:cs="Times New Roman"/>
                <w:color w:val="333333"/>
                <w:kern w:val="0"/>
                <w:sz w:val="24"/>
                <w:szCs w:val="24"/>
                <w:lang w:val="en-US" w:eastAsia="zh-CN"/>
              </w:rPr>
            </w:pPr>
            <w:r>
              <w:rPr>
                <w:rFonts w:hint="eastAsia" w:ascii="Times New Roman" w:hAnsi="Times New Roman" w:eastAsia="宋体" w:cs="Times New Roman"/>
                <w:color w:val="333333"/>
                <w:kern w:val="0"/>
                <w:sz w:val="24"/>
                <w:szCs w:val="24"/>
                <w:lang w:val="en-US" w:eastAsia="zh-CN"/>
              </w:rPr>
              <w:t>17.50</w:t>
            </w:r>
          </w:p>
        </w:tc>
        <w:tc>
          <w:tcPr>
            <w:tcW w:w="1894" w:type="dxa"/>
            <w:vAlign w:val="center"/>
          </w:tcPr>
          <w:p w14:paraId="6CF17F3A">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hint="eastAsia" w:ascii="Times New Roman" w:hAnsi="Times New Roman" w:eastAsia="宋体" w:cs="Times New Roman"/>
                <w:color w:val="333333"/>
                <w:kern w:val="0"/>
                <w:sz w:val="24"/>
                <w:szCs w:val="24"/>
                <w:lang w:val="en-US" w:eastAsia="zh-CN"/>
              </w:rPr>
              <w:t>87.50</w:t>
            </w:r>
            <w:r>
              <w:rPr>
                <w:rFonts w:ascii="Times New Roman" w:hAnsi="Times New Roman" w:eastAsia="宋体" w:cs="Times New Roman"/>
                <w:color w:val="333333"/>
                <w:kern w:val="0"/>
                <w:sz w:val="24"/>
                <w:szCs w:val="24"/>
              </w:rPr>
              <w:t>%</w:t>
            </w:r>
          </w:p>
        </w:tc>
      </w:tr>
      <w:tr w14:paraId="766EE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015" w:type="dxa"/>
            <w:vAlign w:val="center"/>
          </w:tcPr>
          <w:p w14:paraId="7FAAC01E">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整体绩效目标实现情况</w:t>
            </w:r>
          </w:p>
        </w:tc>
        <w:tc>
          <w:tcPr>
            <w:tcW w:w="1963" w:type="dxa"/>
            <w:vAlign w:val="center"/>
          </w:tcPr>
          <w:p w14:paraId="139496E7">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60</w:t>
            </w:r>
          </w:p>
        </w:tc>
        <w:tc>
          <w:tcPr>
            <w:tcW w:w="1963" w:type="dxa"/>
            <w:vAlign w:val="center"/>
          </w:tcPr>
          <w:p w14:paraId="38DC9ED7">
            <w:pPr>
              <w:keepNext w:val="0"/>
              <w:keepLines w:val="0"/>
              <w:pageBreakBefore w:val="0"/>
              <w:widowControl/>
              <w:shd w:val="clear" w:color="010000" w:fill="auto"/>
              <w:kinsoku/>
              <w:wordWrap/>
              <w:overflowPunct/>
              <w:topLinePunct w:val="0"/>
              <w:autoSpaceDE/>
              <w:autoSpaceDN/>
              <w:bidi w:val="0"/>
              <w:spacing w:line="560" w:lineRule="exact"/>
              <w:jc w:val="center"/>
              <w:rPr>
                <w:rFonts w:hint="default" w:ascii="Times New Roman" w:hAnsi="Times New Roman" w:eastAsia="宋体" w:cs="Times New Roman"/>
                <w:color w:val="333333"/>
                <w:kern w:val="0"/>
                <w:sz w:val="24"/>
                <w:szCs w:val="24"/>
                <w:lang w:val="en-US" w:eastAsia="zh-CN"/>
              </w:rPr>
            </w:pPr>
            <w:r>
              <w:rPr>
                <w:rFonts w:hint="eastAsia" w:ascii="Times New Roman" w:hAnsi="Times New Roman" w:eastAsia="宋体" w:cs="Times New Roman"/>
                <w:color w:val="333333"/>
                <w:kern w:val="0"/>
                <w:sz w:val="24"/>
                <w:szCs w:val="24"/>
                <w:lang w:val="en-US" w:eastAsia="zh-CN"/>
              </w:rPr>
              <w:t>55.00</w:t>
            </w:r>
          </w:p>
        </w:tc>
        <w:tc>
          <w:tcPr>
            <w:tcW w:w="1894" w:type="dxa"/>
            <w:vAlign w:val="center"/>
          </w:tcPr>
          <w:p w14:paraId="055CDC3E">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hint="eastAsia" w:ascii="Times New Roman" w:hAnsi="Times New Roman" w:eastAsia="宋体" w:cs="Times New Roman"/>
                <w:color w:val="333333"/>
                <w:kern w:val="0"/>
                <w:sz w:val="24"/>
                <w:szCs w:val="24"/>
                <w:lang w:val="en-US" w:eastAsia="zh-CN"/>
              </w:rPr>
              <w:t>91.67</w:t>
            </w:r>
            <w:r>
              <w:rPr>
                <w:rFonts w:ascii="Times New Roman" w:hAnsi="Times New Roman" w:eastAsia="宋体" w:cs="Times New Roman"/>
                <w:color w:val="333333"/>
                <w:kern w:val="0"/>
                <w:sz w:val="24"/>
                <w:szCs w:val="24"/>
              </w:rPr>
              <w:t>%</w:t>
            </w:r>
          </w:p>
        </w:tc>
      </w:tr>
      <w:tr w14:paraId="584CC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015" w:type="dxa"/>
            <w:vAlign w:val="center"/>
          </w:tcPr>
          <w:p w14:paraId="53BA475C">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预算管理情况</w:t>
            </w:r>
          </w:p>
        </w:tc>
        <w:tc>
          <w:tcPr>
            <w:tcW w:w="1963" w:type="dxa"/>
            <w:vAlign w:val="center"/>
          </w:tcPr>
          <w:p w14:paraId="50861A0E">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20</w:t>
            </w:r>
          </w:p>
        </w:tc>
        <w:tc>
          <w:tcPr>
            <w:tcW w:w="1963" w:type="dxa"/>
            <w:vAlign w:val="center"/>
          </w:tcPr>
          <w:p w14:paraId="541AAB54">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20.00</w:t>
            </w:r>
          </w:p>
        </w:tc>
        <w:tc>
          <w:tcPr>
            <w:tcW w:w="1894" w:type="dxa"/>
            <w:vAlign w:val="center"/>
          </w:tcPr>
          <w:p w14:paraId="0506CABE">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100.00%</w:t>
            </w:r>
          </w:p>
        </w:tc>
      </w:tr>
      <w:tr w14:paraId="4984F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015" w:type="dxa"/>
            <w:vAlign w:val="center"/>
          </w:tcPr>
          <w:p w14:paraId="0494B49C">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合计</w:t>
            </w:r>
          </w:p>
        </w:tc>
        <w:tc>
          <w:tcPr>
            <w:tcW w:w="1963" w:type="dxa"/>
            <w:vAlign w:val="center"/>
          </w:tcPr>
          <w:p w14:paraId="162A1D35">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100</w:t>
            </w:r>
          </w:p>
        </w:tc>
        <w:tc>
          <w:tcPr>
            <w:tcW w:w="1963" w:type="dxa"/>
            <w:vAlign w:val="center"/>
          </w:tcPr>
          <w:p w14:paraId="4D7D0D89">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96.78</w:t>
            </w:r>
          </w:p>
        </w:tc>
        <w:tc>
          <w:tcPr>
            <w:tcW w:w="1894" w:type="dxa"/>
            <w:vAlign w:val="center"/>
          </w:tcPr>
          <w:p w14:paraId="4DE74B8E">
            <w:pPr>
              <w:keepNext w:val="0"/>
              <w:keepLines w:val="0"/>
              <w:pageBreakBefore w:val="0"/>
              <w:widowControl/>
              <w:shd w:val="clear" w:color="010000" w:fill="auto"/>
              <w:kinsoku/>
              <w:wordWrap/>
              <w:overflowPunct/>
              <w:topLinePunct w:val="0"/>
              <w:autoSpaceDE/>
              <w:autoSpaceDN/>
              <w:bidi w:val="0"/>
              <w:spacing w:line="560" w:lineRule="exact"/>
              <w:jc w:val="center"/>
              <w:rPr>
                <w:rFonts w:ascii="Times New Roman" w:hAnsi="Times New Roman" w:eastAsia="宋体" w:cs="Times New Roman"/>
                <w:color w:val="333333"/>
                <w:kern w:val="0"/>
                <w:sz w:val="24"/>
                <w:szCs w:val="24"/>
              </w:rPr>
            </w:pPr>
            <w:r>
              <w:rPr>
                <w:rFonts w:ascii="Times New Roman" w:hAnsi="Times New Roman" w:eastAsia="宋体" w:cs="Times New Roman"/>
                <w:color w:val="333333"/>
                <w:kern w:val="0"/>
                <w:sz w:val="24"/>
                <w:szCs w:val="24"/>
              </w:rPr>
              <w:t>96.78%</w:t>
            </w:r>
          </w:p>
        </w:tc>
      </w:tr>
    </w:tbl>
    <w:p w14:paraId="49C20E0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具体评分情况：</w:t>
      </w:r>
    </w:p>
    <w:p w14:paraId="7AAEDF9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当年预算执行情况。该指标分值20分，评价得分17.5分。部门资金足额到位，预算执行率87.49%。能够确保各项工作顺利开展，预算执行较到位，能按照预算管理相关制度执行。</w:t>
      </w:r>
    </w:p>
    <w:p w14:paraId="439D624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整体绩效目标实现情况。该指标分值60分，评价得分55分。其中：</w:t>
      </w:r>
    </w:p>
    <w:p w14:paraId="5A0B810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产出情况指标分值30分，评价得分29分；扣1分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lang w:val="en-US" w:eastAsia="zh-CN"/>
        </w:rPr>
        <w:t>各项目整体绩效目标完成较好，个别项目预算执行较低，例如与在京国际商会联络服务对话系列活动、因公出国（境）类项目。</w:t>
      </w:r>
    </w:p>
    <w:p w14:paraId="601D3DF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效果情况指标分值30分，评价得分26分，扣4分。</w:t>
      </w:r>
      <w:r>
        <w:rPr>
          <w:rFonts w:hint="eastAsia" w:ascii="仿宋_GB2312" w:hAnsi="仿宋_GB2312" w:eastAsia="仿宋_GB2312" w:cs="仿宋_GB2312"/>
          <w:sz w:val="32"/>
          <w:szCs w:val="32"/>
          <w:highlight w:val="none"/>
        </w:rPr>
        <w:t>立项程序规范，绩效目标明确且与相关政策、职能要求相符；绩效指标与绩效目标、预算匹配度较好；绩效指标基本全面、合理、完整；部门资金足额到位，能够确保各项工作顺利开展，扣分原因是效果指标未量化，满意度服务对象不全面。</w:t>
      </w:r>
    </w:p>
    <w:p w14:paraId="2CE2F01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预算管理情况。该指标分值20分，评分得分20分。其中：财务管理评价得分4分，资产管理评价得分4分，绩效管理评价得分4分，结转结余率评价得分4分，预决算差异率评价得分4分。预算管理比较到位，基能够较好的按照预算管理相关制度执行，绩效及资产管理较规范。</w:t>
      </w:r>
    </w:p>
    <w:p w14:paraId="3EAED7AC">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17" w:name="_Toc2114"/>
      <w:r>
        <w:rPr>
          <w:rFonts w:hint="eastAsia" w:ascii="楷体_GB2312" w:hAnsi="楷体_GB2312" w:eastAsia="楷体_GB2312" w:cs="楷体_GB2312"/>
          <w:b/>
          <w:bCs/>
          <w:sz w:val="32"/>
          <w:szCs w:val="32"/>
        </w:rPr>
        <w:t>（二）存在的问题及原因分析</w:t>
      </w:r>
      <w:bookmarkEnd w:id="17"/>
    </w:p>
    <w:p w14:paraId="26FE0F98">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1.202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年度，</w:t>
      </w:r>
      <w:r>
        <w:rPr>
          <w:rFonts w:hint="eastAsia" w:ascii="仿宋_GB2312" w:hAnsi="仿宋_GB2312" w:eastAsia="仿宋_GB2312" w:cs="仿宋_GB2312"/>
          <w:bCs/>
          <w:kern w:val="0"/>
          <w:sz w:val="32"/>
          <w:szCs w:val="28"/>
          <w:lang w:val="en-US" w:eastAsia="zh-CN"/>
        </w:rPr>
        <w:t>市投资促进中心</w:t>
      </w:r>
      <w:r>
        <w:rPr>
          <w:rFonts w:hint="eastAsia" w:ascii="仿宋_GB2312" w:hAnsi="仿宋_GB2312" w:eastAsia="仿宋_GB2312" w:cs="仿宋_GB2312"/>
          <w:sz w:val="32"/>
          <w:szCs w:val="32"/>
        </w:rPr>
        <w:t>各预算申报项目绩效目标填报的规范性及合理性较上年有所规范，指标内容具备了较为清晰的的细化与量化程度。但个别项目的绩效目标填报仍存在科学性不足的情况，项目总体目标中关于项目实施的依据、实施的内容以及预期达到的效果归纳与阐述</w:t>
      </w:r>
      <w:r>
        <w:rPr>
          <w:rFonts w:hint="eastAsia" w:ascii="仿宋_GB2312" w:hAnsi="仿宋_GB2312" w:eastAsia="仿宋_GB2312" w:cs="仿宋_GB2312"/>
          <w:sz w:val="32"/>
          <w:szCs w:val="32"/>
          <w:lang w:val="en-US" w:eastAsia="zh-CN"/>
        </w:rPr>
        <w:t>稍显不足</w:t>
      </w:r>
      <w:r>
        <w:rPr>
          <w:rFonts w:hint="eastAsia" w:ascii="仿宋_GB2312" w:hAnsi="仿宋_GB2312" w:eastAsia="仿宋_GB2312" w:cs="仿宋_GB2312"/>
          <w:sz w:val="32"/>
          <w:szCs w:val="32"/>
        </w:rPr>
        <w:t>，具体产出指标中三级指标及指标值的设定还不够清晰明确</w:t>
      </w:r>
      <w:r>
        <w:rPr>
          <w:rFonts w:hint="eastAsia" w:ascii="仿宋_GB2312" w:hAnsi="仿宋_GB2312" w:eastAsia="仿宋_GB2312" w:cs="仿宋_GB2312"/>
          <w:sz w:val="32"/>
          <w:szCs w:val="32"/>
          <w:lang w:eastAsia="zh-CN"/>
        </w:rPr>
        <w:t>。</w:t>
      </w:r>
    </w:p>
    <w:p w14:paraId="4A0EC826">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2.部分</w:t>
      </w:r>
      <w:r>
        <w:rPr>
          <w:rFonts w:hint="eastAsia" w:ascii="仿宋_GB2312" w:hAnsi="仿宋_GB2312" w:eastAsia="仿宋_GB2312" w:cs="仿宋_GB2312"/>
          <w:sz w:val="32"/>
          <w:szCs w:val="32"/>
          <w:lang w:val="en-US" w:eastAsia="zh-CN"/>
        </w:rPr>
        <w:t>项目</w:t>
      </w:r>
      <w:r>
        <w:rPr>
          <w:rFonts w:hint="eastAsia" w:ascii="仿宋_GB2312" w:hAnsi="仿宋_GB2312" w:eastAsia="仿宋_GB2312" w:cs="仿宋_GB2312"/>
          <w:sz w:val="32"/>
          <w:szCs w:val="32"/>
        </w:rPr>
        <w:t>在组织实施和过程管理的精细化水平不够凸显，</w:t>
      </w:r>
      <w:bookmarkStart w:id="18" w:name="_Hlk135320208"/>
      <w:r>
        <w:rPr>
          <w:rFonts w:hint="eastAsia" w:ascii="仿宋_GB2312" w:hAnsi="仿宋_GB2312" w:eastAsia="仿宋_GB2312" w:cs="仿宋_GB2312"/>
          <w:sz w:val="32"/>
          <w:szCs w:val="32"/>
          <w:lang w:val="en-US" w:eastAsia="zh-CN"/>
        </w:rPr>
        <w:t>项目过程</w:t>
      </w:r>
      <w:r>
        <w:rPr>
          <w:rFonts w:hint="eastAsia" w:ascii="仿宋_GB2312" w:hAnsi="仿宋_GB2312" w:eastAsia="仿宋_GB2312" w:cs="仿宋_GB2312"/>
          <w:sz w:val="32"/>
          <w:szCs w:val="32"/>
        </w:rPr>
        <w:t>绩效资料收集、整理及满意度调查工作</w:t>
      </w:r>
      <w:bookmarkEnd w:id="18"/>
      <w:r>
        <w:rPr>
          <w:rFonts w:hint="eastAsia" w:ascii="仿宋_GB2312" w:hAnsi="仿宋_GB2312" w:eastAsia="仿宋_GB2312" w:cs="仿宋_GB2312"/>
          <w:sz w:val="32"/>
          <w:szCs w:val="32"/>
          <w:lang w:val="en-US" w:eastAsia="zh-CN"/>
        </w:rPr>
        <w:t>有待加强。</w:t>
      </w:r>
    </w:p>
    <w:p w14:paraId="1F89821C">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sz w:val="32"/>
          <w:szCs w:val="32"/>
        </w:rPr>
      </w:pPr>
      <w:bookmarkStart w:id="19" w:name="_Toc1330"/>
      <w:r>
        <w:rPr>
          <w:rFonts w:hint="eastAsia" w:ascii="黑体" w:hAnsi="黑体" w:eastAsia="黑体" w:cs="黑体"/>
          <w:sz w:val="32"/>
          <w:szCs w:val="32"/>
        </w:rPr>
        <w:t>六、措施建议</w:t>
      </w:r>
      <w:bookmarkEnd w:id="19"/>
    </w:p>
    <w:p w14:paraId="7FEDD202">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20" w:name="_Toc32154"/>
      <w:r>
        <w:rPr>
          <w:rFonts w:hint="eastAsia" w:ascii="楷体_GB2312" w:hAnsi="楷体_GB2312" w:eastAsia="楷体_GB2312" w:cs="楷体_GB2312"/>
          <w:b/>
          <w:bCs/>
          <w:sz w:val="32"/>
          <w:szCs w:val="32"/>
        </w:rPr>
        <w:t>（一）科学设置绩效目标及指标，完善预算编制</w:t>
      </w:r>
      <w:r>
        <w:rPr>
          <w:rFonts w:hint="eastAsia" w:ascii="楷体_GB2312" w:hAnsi="楷体_GB2312" w:eastAsia="楷体_GB2312" w:cs="楷体_GB2312"/>
          <w:b/>
          <w:bCs/>
          <w:sz w:val="32"/>
          <w:szCs w:val="32"/>
          <w:lang w:eastAsia="zh-CN"/>
        </w:rPr>
        <w:t>。</w:t>
      </w:r>
      <w:bookmarkEnd w:id="20"/>
    </w:p>
    <w:p w14:paraId="16EC8B9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进一步提高项目的绩效管理水平，规范科学编制绩效目标表，提高项目绩效目标和指标编制的合理性。进一步强化项目绩效意识，科学、合理、规范设定项目绩效目标申报表，根据市财政局有关绩效目标管理的要求，结合项目内容，规范填报预期绩效目标申报表。填报的总体绩效目标申报表中应包含项目的立项背景和需求、实施的主要内容、年度计划实现的绩效成果等关键要素。填报的具体指标应细化、量化，通过填报科学规范的绩效目标申报表，进一步提高项目绩效目标的可考量性。</w:t>
      </w:r>
    </w:p>
    <w:p w14:paraId="11F6DD34">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outlineLvl w:val="1"/>
        <w:rPr>
          <w:rFonts w:hint="eastAsia" w:ascii="楷体_GB2312" w:hAnsi="楷体_GB2312" w:eastAsia="楷体_GB2312" w:cs="楷体_GB2312"/>
          <w:b/>
          <w:bCs/>
          <w:sz w:val="32"/>
          <w:szCs w:val="32"/>
        </w:rPr>
      </w:pPr>
      <w:bookmarkStart w:id="21" w:name="_Toc20646"/>
      <w:r>
        <w:rPr>
          <w:rFonts w:hint="eastAsia" w:ascii="楷体_GB2312" w:hAnsi="楷体_GB2312" w:eastAsia="楷体_GB2312" w:cs="楷体_GB2312"/>
          <w:b/>
          <w:bCs/>
          <w:sz w:val="32"/>
          <w:szCs w:val="32"/>
        </w:rPr>
        <w:t>（二）牢固树立“花钱必问效，无效必问责”意识。</w:t>
      </w:r>
      <w:bookmarkEnd w:id="21"/>
    </w:p>
    <w:p w14:paraId="222694D9">
      <w:pPr>
        <w:keepNext w:val="0"/>
        <w:keepLines w:val="0"/>
        <w:pageBreakBefore w:val="0"/>
        <w:kinsoku/>
        <w:wordWrap/>
        <w:overflowPunct/>
        <w:topLinePunct w:val="0"/>
        <w:autoSpaceDE/>
        <w:autoSpaceDN/>
        <w:bidi w:val="0"/>
        <w:spacing w:line="560" w:lineRule="exact"/>
        <w:ind w:firstLine="518" w:firstLineChars="162"/>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重视项目绩效资料的留存与收集，在项目执行环节应注重及时收集项目绩效资料，加强对相关数据的汇总分析和历史比对，从多方面反映项目绩效成果的实现程度，全面展示项目实施效果。</w:t>
      </w:r>
    </w:p>
    <w:p w14:paraId="0F4AFA7E">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40" w:firstLineChars="200"/>
        <w:textAlignment w:val="auto"/>
        <w:outlineLvl w:val="0"/>
        <w:rPr>
          <w:rFonts w:ascii="黑体" w:hAnsi="黑体" w:eastAsia="黑体" w:cs="黑体"/>
          <w:sz w:val="32"/>
          <w:szCs w:val="32"/>
        </w:rPr>
      </w:pPr>
      <w:bookmarkStart w:id="22" w:name="_Toc17642"/>
      <w:r>
        <w:rPr>
          <w:rFonts w:hint="eastAsia" w:ascii="黑体" w:hAnsi="黑体" w:eastAsia="黑体" w:cs="黑体"/>
          <w:sz w:val="32"/>
          <w:szCs w:val="32"/>
        </w:rPr>
        <w:t>七、附件</w:t>
      </w:r>
      <w:bookmarkEnd w:id="22"/>
    </w:p>
    <w:p w14:paraId="78207F9C">
      <w:pPr>
        <w:keepNext w:val="0"/>
        <w:keepLines w:val="0"/>
        <w:pageBreakBefore w:val="0"/>
        <w:kinsoku/>
        <w:wordWrap/>
        <w:overflowPunct/>
        <w:topLinePunct w:val="0"/>
        <w:autoSpaceDE/>
        <w:autoSpaceDN/>
        <w:bidi w:val="0"/>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附件1：2023年部门整体支出指标体系及评分情况表</w:t>
      </w:r>
    </w:p>
    <w:p w14:paraId="2347DBD6">
      <w:pPr>
        <w:pStyle w:val="2"/>
        <w:keepNext w:val="0"/>
        <w:keepLines w:val="0"/>
        <w:pageBreakBefore w:val="0"/>
        <w:kinsoku/>
        <w:wordWrap/>
        <w:overflowPunct/>
        <w:topLinePunct w:val="0"/>
        <w:autoSpaceDE/>
        <w:autoSpaceDN/>
        <w:bidi w:val="0"/>
        <w:spacing w:line="56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highlight w:val="none"/>
        </w:rPr>
        <w:t>附件2：</w:t>
      </w:r>
      <w:r>
        <w:rPr>
          <w:rFonts w:hint="eastAsia" w:ascii="仿宋_GB2312" w:hAnsi="仿宋_GB2312" w:eastAsia="仿宋_GB2312" w:cs="仿宋_GB2312"/>
          <w:sz w:val="32"/>
          <w:szCs w:val="32"/>
          <w:highlight w:val="none"/>
          <w:lang w:val="en-US" w:eastAsia="zh-CN"/>
        </w:rPr>
        <w:t>2023年度</w:t>
      </w:r>
      <w:r>
        <w:rPr>
          <w:rFonts w:hint="eastAsia" w:ascii="仿宋_GB2312" w:hAnsi="仿宋_GB2312" w:eastAsia="仿宋_GB2312" w:cs="仿宋_GB2312"/>
          <w:sz w:val="32"/>
          <w:szCs w:val="32"/>
          <w:highlight w:val="none"/>
        </w:rPr>
        <w:t>项目支出绩效自评</w:t>
      </w:r>
      <w:r>
        <w:rPr>
          <w:rFonts w:hint="eastAsia" w:ascii="仿宋_GB2312" w:hAnsi="仿宋_GB2312" w:eastAsia="仿宋_GB2312" w:cs="仿宋_GB2312"/>
          <w:sz w:val="32"/>
          <w:szCs w:val="32"/>
          <w:highlight w:val="none"/>
          <w:lang w:val="en-US" w:eastAsia="zh-CN"/>
        </w:rPr>
        <w:t>汇总</w:t>
      </w:r>
      <w:r>
        <w:rPr>
          <w:rFonts w:hint="eastAsia" w:ascii="仿宋_GB2312" w:hAnsi="仿宋_GB2312" w:eastAsia="仿宋_GB2312" w:cs="仿宋_GB2312"/>
          <w:sz w:val="32"/>
          <w:szCs w:val="32"/>
          <w:highlight w:val="none"/>
        </w:rPr>
        <w:t>表</w:t>
      </w:r>
    </w:p>
    <w:p w14:paraId="76F2F50F">
      <w:pPr>
        <w:pStyle w:val="2"/>
        <w:keepNext w:val="0"/>
        <w:keepLines w:val="0"/>
        <w:pageBreakBefore w:val="0"/>
        <w:kinsoku/>
        <w:wordWrap/>
        <w:overflowPunct/>
        <w:topLinePunct w:val="0"/>
        <w:autoSpaceDE/>
        <w:autoSpaceDN/>
        <w:bidi w:val="0"/>
        <w:spacing w:line="560" w:lineRule="exact"/>
        <w:rPr>
          <w:rFonts w:ascii="仿宋_GB2312" w:hAnsi="仿宋_GB2312" w:eastAsia="仿宋_GB2312" w:cs="仿宋_GB2312"/>
          <w:sz w:val="32"/>
          <w:szCs w:val="32"/>
        </w:rPr>
      </w:pPr>
    </w:p>
    <w:p w14:paraId="7D670946">
      <w:pPr>
        <w:pStyle w:val="2"/>
        <w:keepNext w:val="0"/>
        <w:keepLines w:val="0"/>
        <w:pageBreakBefore w:val="0"/>
        <w:kinsoku/>
        <w:wordWrap/>
        <w:overflowPunct/>
        <w:topLinePunct w:val="0"/>
        <w:autoSpaceDE/>
        <w:autoSpaceDN/>
        <w:bidi w:val="0"/>
        <w:spacing w:line="560" w:lineRule="exact"/>
        <w:rPr>
          <w:rFonts w:hint="eastAsia" w:ascii="仿宋_GB2312" w:hAnsi="仿宋_GB2312" w:eastAsia="仿宋_GB2312" w:cs="仿宋_GB2312"/>
          <w:sz w:val="32"/>
          <w:szCs w:val="32"/>
        </w:rPr>
        <w:sectPr>
          <w:footerReference r:id="rId3" w:type="default"/>
          <w:pgSz w:w="11906" w:h="16838"/>
          <w:pgMar w:top="1440" w:right="1800" w:bottom="1440" w:left="1800" w:header="851" w:footer="992" w:gutter="0"/>
          <w:pgNumType w:fmt="decimal" w:start="1"/>
          <w:cols w:space="425" w:num="1"/>
          <w:docGrid w:type="lines" w:linePitch="312" w:charSpace="0"/>
        </w:sectPr>
      </w:pPr>
    </w:p>
    <w:p w14:paraId="3DE837E7">
      <w:pPr>
        <w:keepNext w:val="0"/>
        <w:keepLines w:val="0"/>
        <w:pageBreakBefore w:val="0"/>
        <w:kinsoku/>
        <w:wordWrap/>
        <w:overflowPunct/>
        <w:topLinePunct w:val="0"/>
        <w:autoSpaceDE/>
        <w:autoSpaceDN/>
        <w:bidi w:val="0"/>
        <w:spacing w:line="560" w:lineRule="exact"/>
        <w:rPr>
          <w:rFonts w:ascii="Arial Narrow" w:hAnsi="Arial Narrow"/>
          <w:sz w:val="20"/>
          <w:szCs w:val="18"/>
        </w:rPr>
      </w:pPr>
      <w:r>
        <w:rPr>
          <w:rFonts w:hint="eastAsia" w:ascii="仿宋" w:hAnsi="仿宋" w:eastAsia="仿宋" w:cs="仿宋"/>
          <w:sz w:val="32"/>
          <w:szCs w:val="32"/>
        </w:rPr>
        <w:t>附件1：2023年部门整体支出指标体系及评分情况表</w:t>
      </w:r>
    </w:p>
    <w:p w14:paraId="6F1EF91E">
      <w:pPr>
        <w:pStyle w:val="2"/>
        <w:keepNext w:val="0"/>
        <w:keepLines w:val="0"/>
        <w:pageBreakBefore w:val="0"/>
        <w:kinsoku/>
        <w:wordWrap/>
        <w:overflowPunct/>
        <w:topLinePunct w:val="0"/>
        <w:autoSpaceDE/>
        <w:autoSpaceDN/>
        <w:bidi w:val="0"/>
        <w:spacing w:line="560" w:lineRule="exact"/>
        <w:jc w:val="center"/>
        <w:rPr>
          <w:rFonts w:hint="eastAsia" w:ascii="黑体" w:hAnsi="黑体" w:eastAsia="黑体" w:cs="黑体"/>
          <w:sz w:val="32"/>
          <w:szCs w:val="32"/>
        </w:rPr>
      </w:pPr>
      <w:r>
        <w:rPr>
          <w:rFonts w:hint="eastAsia" w:ascii="黑体" w:hAnsi="黑体" w:eastAsia="黑体" w:cs="黑体"/>
          <w:color w:val="000000"/>
          <w:kern w:val="0"/>
          <w:sz w:val="32"/>
          <w:szCs w:val="32"/>
        </w:rPr>
        <w:t>2023年部门整体绩效评价指标体系评分表</w:t>
      </w:r>
    </w:p>
    <w:tbl>
      <w:tblPr>
        <w:tblStyle w:val="10"/>
        <w:tblW w:w="161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979"/>
        <w:gridCol w:w="1520"/>
        <w:gridCol w:w="4339"/>
        <w:gridCol w:w="1983"/>
        <w:gridCol w:w="1300"/>
        <w:gridCol w:w="1240"/>
        <w:gridCol w:w="1754"/>
        <w:gridCol w:w="1998"/>
        <w:gridCol w:w="9"/>
      </w:tblGrid>
      <w:tr w14:paraId="5203C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6101" w:type="dxa"/>
            <w:gridSpan w:val="10"/>
            <w:shd w:val="clear" w:color="auto" w:fill="auto"/>
            <w:vAlign w:val="center"/>
          </w:tcPr>
          <w:p w14:paraId="06954BC6">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r>
              <w:rPr>
                <w:rFonts w:hint="eastAsia" w:ascii="宋体" w:hAnsi="宋体" w:eastAsia="宋体" w:cs="宋体"/>
                <w:color w:val="000000"/>
                <w:kern w:val="0"/>
                <w:sz w:val="18"/>
                <w:szCs w:val="18"/>
              </w:rPr>
              <w:t>一、</w:t>
            </w:r>
            <w:r>
              <w:rPr>
                <w:rFonts w:hint="eastAsia" w:ascii="宋体" w:hAnsi="宋体" w:eastAsia="宋体" w:cs="宋体"/>
                <w:color w:val="000000"/>
                <w:kern w:val="0"/>
                <w:sz w:val="20"/>
                <w:szCs w:val="20"/>
              </w:rPr>
              <w:t>当年预算执行情况（20分）</w:t>
            </w:r>
          </w:p>
        </w:tc>
      </w:tr>
      <w:tr w14:paraId="3FEA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288" w:hRule="atLeast"/>
          <w:jc w:val="center"/>
        </w:trPr>
        <w:tc>
          <w:tcPr>
            <w:tcW w:w="980" w:type="dxa"/>
            <w:shd w:val="clear" w:color="auto" w:fill="auto"/>
            <w:vAlign w:val="center"/>
          </w:tcPr>
          <w:p w14:paraId="6B3A426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一级指标　</w:t>
            </w:r>
          </w:p>
        </w:tc>
        <w:tc>
          <w:tcPr>
            <w:tcW w:w="980" w:type="dxa"/>
            <w:shd w:val="clear" w:color="auto" w:fill="auto"/>
            <w:vAlign w:val="center"/>
          </w:tcPr>
          <w:p w14:paraId="73016E0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二级指标　</w:t>
            </w:r>
          </w:p>
        </w:tc>
        <w:tc>
          <w:tcPr>
            <w:tcW w:w="1520" w:type="dxa"/>
            <w:shd w:val="clear" w:color="auto" w:fill="auto"/>
            <w:vAlign w:val="center"/>
          </w:tcPr>
          <w:p w14:paraId="398DC18C">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预算数（万元）</w:t>
            </w:r>
          </w:p>
        </w:tc>
        <w:tc>
          <w:tcPr>
            <w:tcW w:w="4340" w:type="dxa"/>
            <w:shd w:val="clear" w:color="auto" w:fill="auto"/>
            <w:vAlign w:val="center"/>
          </w:tcPr>
          <w:p w14:paraId="462AC23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执行数（万元）</w:t>
            </w:r>
          </w:p>
        </w:tc>
        <w:tc>
          <w:tcPr>
            <w:tcW w:w="1983" w:type="dxa"/>
            <w:shd w:val="clear" w:color="auto" w:fill="auto"/>
            <w:vAlign w:val="center"/>
          </w:tcPr>
          <w:p w14:paraId="77AB56F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预算执行率</w:t>
            </w:r>
          </w:p>
        </w:tc>
        <w:tc>
          <w:tcPr>
            <w:tcW w:w="1300" w:type="dxa"/>
            <w:shd w:val="clear" w:color="auto" w:fill="auto"/>
            <w:vAlign w:val="center"/>
          </w:tcPr>
          <w:p w14:paraId="085EE94B">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分值</w:t>
            </w:r>
          </w:p>
        </w:tc>
        <w:tc>
          <w:tcPr>
            <w:tcW w:w="1240" w:type="dxa"/>
            <w:shd w:val="clear" w:color="auto" w:fill="auto"/>
            <w:vAlign w:val="center"/>
          </w:tcPr>
          <w:p w14:paraId="35E625D3">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得分</w:t>
            </w:r>
          </w:p>
        </w:tc>
        <w:tc>
          <w:tcPr>
            <w:tcW w:w="1754" w:type="dxa"/>
            <w:shd w:val="clear" w:color="auto" w:fill="auto"/>
            <w:vAlign w:val="center"/>
          </w:tcPr>
          <w:p w14:paraId="1871DBCA">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指标解释</w:t>
            </w:r>
          </w:p>
        </w:tc>
        <w:tc>
          <w:tcPr>
            <w:tcW w:w="1995" w:type="dxa"/>
            <w:shd w:val="clear" w:color="auto" w:fill="auto"/>
            <w:vAlign w:val="center"/>
          </w:tcPr>
          <w:p w14:paraId="72F1F44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评分标准</w:t>
            </w:r>
          </w:p>
        </w:tc>
      </w:tr>
      <w:tr w14:paraId="3A424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480" w:hRule="atLeast"/>
          <w:jc w:val="center"/>
        </w:trPr>
        <w:tc>
          <w:tcPr>
            <w:tcW w:w="980" w:type="dxa"/>
            <w:vMerge w:val="restart"/>
            <w:shd w:val="clear" w:color="auto" w:fill="auto"/>
            <w:vAlign w:val="center"/>
          </w:tcPr>
          <w:p w14:paraId="05E5FB8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当年预算执行情况（20）</w:t>
            </w:r>
          </w:p>
        </w:tc>
        <w:tc>
          <w:tcPr>
            <w:tcW w:w="980" w:type="dxa"/>
            <w:shd w:val="clear" w:color="auto" w:fill="auto"/>
            <w:vAlign w:val="center"/>
          </w:tcPr>
          <w:p w14:paraId="2C242AA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资金总体</w:t>
            </w:r>
          </w:p>
        </w:tc>
        <w:tc>
          <w:tcPr>
            <w:tcW w:w="1520" w:type="dxa"/>
            <w:shd w:val="clear" w:color="auto" w:fill="auto"/>
            <w:vAlign w:val="center"/>
          </w:tcPr>
          <w:p w14:paraId="4DDED46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7972.900872 </w:t>
            </w:r>
          </w:p>
        </w:tc>
        <w:tc>
          <w:tcPr>
            <w:tcW w:w="4340" w:type="dxa"/>
            <w:shd w:val="clear" w:color="auto" w:fill="auto"/>
            <w:vAlign w:val="center"/>
          </w:tcPr>
          <w:p w14:paraId="05D7CBF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6975.649085 </w:t>
            </w:r>
          </w:p>
        </w:tc>
        <w:tc>
          <w:tcPr>
            <w:tcW w:w="1983" w:type="dxa"/>
            <w:shd w:val="clear" w:color="auto" w:fill="auto"/>
            <w:vAlign w:val="center"/>
          </w:tcPr>
          <w:p w14:paraId="367A3D6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87.49%</w:t>
            </w:r>
          </w:p>
        </w:tc>
        <w:tc>
          <w:tcPr>
            <w:tcW w:w="1300" w:type="dxa"/>
            <w:vMerge w:val="restart"/>
            <w:shd w:val="clear" w:color="auto" w:fill="auto"/>
            <w:noWrap/>
            <w:vAlign w:val="center"/>
          </w:tcPr>
          <w:p w14:paraId="6AF139A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w:t>
            </w:r>
          </w:p>
        </w:tc>
        <w:tc>
          <w:tcPr>
            <w:tcW w:w="1240" w:type="dxa"/>
            <w:vMerge w:val="restart"/>
            <w:shd w:val="clear" w:color="auto" w:fill="auto"/>
            <w:noWrap/>
            <w:vAlign w:val="center"/>
          </w:tcPr>
          <w:p w14:paraId="3BAF669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17.50 </w:t>
            </w:r>
          </w:p>
        </w:tc>
        <w:tc>
          <w:tcPr>
            <w:tcW w:w="1754" w:type="dxa"/>
            <w:vMerge w:val="restart"/>
            <w:shd w:val="clear" w:color="auto" w:fill="auto"/>
            <w:vAlign w:val="center"/>
          </w:tcPr>
          <w:p w14:paraId="3D703F00">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部门全年执行数与全年预算数的比率。资金总体=基本支出+项目支出+其他</w:t>
            </w:r>
          </w:p>
        </w:tc>
        <w:tc>
          <w:tcPr>
            <w:tcW w:w="1995" w:type="dxa"/>
            <w:vMerge w:val="restart"/>
            <w:shd w:val="clear" w:color="auto" w:fill="auto"/>
            <w:vAlign w:val="center"/>
          </w:tcPr>
          <w:p w14:paraId="2E4594E7">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①得分一档最高不能超过该指标分值上限（20分）。</w:t>
            </w:r>
            <w:r>
              <w:rPr>
                <w:rFonts w:hint="eastAsia" w:ascii="宋体" w:hAnsi="宋体" w:eastAsia="宋体" w:cs="宋体"/>
                <w:color w:val="000000"/>
                <w:kern w:val="0"/>
                <w:sz w:val="18"/>
                <w:szCs w:val="18"/>
              </w:rPr>
              <w:br w:type="textWrapping"/>
            </w:r>
            <w:r>
              <w:rPr>
                <w:rFonts w:hint="eastAsia" w:ascii="宋体" w:hAnsi="宋体" w:eastAsia="宋体" w:cs="宋体"/>
                <w:color w:val="000000"/>
                <w:kern w:val="0"/>
                <w:sz w:val="18"/>
                <w:szCs w:val="18"/>
              </w:rPr>
              <w:t>②该指标若为正向指标，则得分计算方法应用全年实际值（B）/年度指标值（A）*该指标分值；若定量指标为反向指标，则得分计算方法应用年度指标值（A）/全年实际值（B）*该指标分值。若年初指标值设定偏低，则得分计算方法应用（全年实际值（B）—年度指标值（A））/年度指标值（A）*100%。若计算结果在200%-300%（含200%）区间，则按照该指标分值的10%扣分；计算结果在300%-500%（含300%）区间，则按照该指标分值的20%扣分；计算结果高于500%（含500%），则按照该指标分值的30%扣分。</w:t>
            </w:r>
          </w:p>
        </w:tc>
      </w:tr>
      <w:tr w14:paraId="33CF7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621" w:hRule="atLeast"/>
          <w:jc w:val="center"/>
        </w:trPr>
        <w:tc>
          <w:tcPr>
            <w:tcW w:w="980" w:type="dxa"/>
            <w:vMerge w:val="continue"/>
            <w:vAlign w:val="center"/>
          </w:tcPr>
          <w:p w14:paraId="1DB878F9">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4E1E82E5">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基本支出</w:t>
            </w:r>
          </w:p>
        </w:tc>
        <w:tc>
          <w:tcPr>
            <w:tcW w:w="1520" w:type="dxa"/>
            <w:shd w:val="clear" w:color="auto" w:fill="auto"/>
            <w:vAlign w:val="center"/>
          </w:tcPr>
          <w:p w14:paraId="4AE1D3F7">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5083.533536 </w:t>
            </w:r>
          </w:p>
        </w:tc>
        <w:tc>
          <w:tcPr>
            <w:tcW w:w="4340" w:type="dxa"/>
            <w:shd w:val="clear" w:color="auto" w:fill="auto"/>
            <w:vAlign w:val="center"/>
          </w:tcPr>
          <w:p w14:paraId="3FEB6F2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4415.552861 </w:t>
            </w:r>
          </w:p>
        </w:tc>
        <w:tc>
          <w:tcPr>
            <w:tcW w:w="1983" w:type="dxa"/>
            <w:vMerge w:val="restart"/>
            <w:shd w:val="clear" w:color="auto" w:fill="auto"/>
            <w:vAlign w:val="center"/>
          </w:tcPr>
          <w:p w14:paraId="2913800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w:t>
            </w:r>
          </w:p>
        </w:tc>
        <w:tc>
          <w:tcPr>
            <w:tcW w:w="1300" w:type="dxa"/>
            <w:vMerge w:val="continue"/>
            <w:vAlign w:val="center"/>
          </w:tcPr>
          <w:p w14:paraId="147A0023">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240" w:type="dxa"/>
            <w:vMerge w:val="continue"/>
            <w:vAlign w:val="center"/>
          </w:tcPr>
          <w:p w14:paraId="2C3CF9FB">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754" w:type="dxa"/>
            <w:vMerge w:val="continue"/>
            <w:vAlign w:val="center"/>
          </w:tcPr>
          <w:p w14:paraId="1E218D3B">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c>
          <w:tcPr>
            <w:tcW w:w="1995" w:type="dxa"/>
            <w:vMerge w:val="continue"/>
            <w:vAlign w:val="center"/>
          </w:tcPr>
          <w:p w14:paraId="476372E5">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55A35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759" w:hRule="atLeast"/>
          <w:jc w:val="center"/>
        </w:trPr>
        <w:tc>
          <w:tcPr>
            <w:tcW w:w="980" w:type="dxa"/>
            <w:vMerge w:val="continue"/>
            <w:vAlign w:val="center"/>
          </w:tcPr>
          <w:p w14:paraId="261B14DF">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0231422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项目支出</w:t>
            </w:r>
          </w:p>
        </w:tc>
        <w:tc>
          <w:tcPr>
            <w:tcW w:w="1520" w:type="dxa"/>
            <w:shd w:val="clear" w:color="auto" w:fill="auto"/>
            <w:vAlign w:val="center"/>
          </w:tcPr>
          <w:p w14:paraId="3729305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2889.367336 </w:t>
            </w:r>
          </w:p>
        </w:tc>
        <w:tc>
          <w:tcPr>
            <w:tcW w:w="4340" w:type="dxa"/>
            <w:shd w:val="clear" w:color="auto" w:fill="auto"/>
            <w:vAlign w:val="center"/>
          </w:tcPr>
          <w:p w14:paraId="36D5267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2560.096224 </w:t>
            </w:r>
          </w:p>
        </w:tc>
        <w:tc>
          <w:tcPr>
            <w:tcW w:w="1983" w:type="dxa"/>
            <w:vMerge w:val="continue"/>
            <w:vAlign w:val="center"/>
          </w:tcPr>
          <w:p w14:paraId="7EE6CA93">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300" w:type="dxa"/>
            <w:vMerge w:val="continue"/>
            <w:vAlign w:val="center"/>
          </w:tcPr>
          <w:p w14:paraId="5AFA0E03">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240" w:type="dxa"/>
            <w:vMerge w:val="continue"/>
            <w:vAlign w:val="center"/>
          </w:tcPr>
          <w:p w14:paraId="7ADFE12D">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754" w:type="dxa"/>
            <w:vMerge w:val="continue"/>
            <w:vAlign w:val="center"/>
          </w:tcPr>
          <w:p w14:paraId="44C94454">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c>
          <w:tcPr>
            <w:tcW w:w="1995" w:type="dxa"/>
            <w:vMerge w:val="continue"/>
            <w:vAlign w:val="center"/>
          </w:tcPr>
          <w:p w14:paraId="4A92A230">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6CDF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579" w:hRule="atLeast"/>
          <w:jc w:val="center"/>
        </w:trPr>
        <w:tc>
          <w:tcPr>
            <w:tcW w:w="980" w:type="dxa"/>
            <w:vMerge w:val="continue"/>
            <w:vAlign w:val="center"/>
          </w:tcPr>
          <w:p w14:paraId="7B664A66">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3C64F7F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其他</w:t>
            </w:r>
          </w:p>
        </w:tc>
        <w:tc>
          <w:tcPr>
            <w:tcW w:w="1520" w:type="dxa"/>
            <w:shd w:val="clear" w:color="auto" w:fill="auto"/>
            <w:vAlign w:val="center"/>
          </w:tcPr>
          <w:p w14:paraId="0EA5B08F">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0.000000 </w:t>
            </w:r>
          </w:p>
        </w:tc>
        <w:tc>
          <w:tcPr>
            <w:tcW w:w="4340" w:type="dxa"/>
            <w:shd w:val="clear" w:color="auto" w:fill="auto"/>
            <w:vAlign w:val="center"/>
          </w:tcPr>
          <w:p w14:paraId="5E23FD3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 xml:space="preserve">0.000000 </w:t>
            </w:r>
          </w:p>
        </w:tc>
        <w:tc>
          <w:tcPr>
            <w:tcW w:w="1983" w:type="dxa"/>
            <w:vMerge w:val="continue"/>
            <w:vAlign w:val="center"/>
          </w:tcPr>
          <w:p w14:paraId="46803EE5">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300" w:type="dxa"/>
            <w:vMerge w:val="continue"/>
            <w:vAlign w:val="center"/>
          </w:tcPr>
          <w:p w14:paraId="600699F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240" w:type="dxa"/>
            <w:vMerge w:val="continue"/>
            <w:vAlign w:val="center"/>
          </w:tcPr>
          <w:p w14:paraId="275C9D9C">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754" w:type="dxa"/>
            <w:vMerge w:val="continue"/>
            <w:vAlign w:val="center"/>
          </w:tcPr>
          <w:p w14:paraId="1A7FCEF9">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c>
          <w:tcPr>
            <w:tcW w:w="1995" w:type="dxa"/>
            <w:vMerge w:val="continue"/>
            <w:vAlign w:val="center"/>
          </w:tcPr>
          <w:p w14:paraId="24367D7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6E10E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6101" w:type="dxa"/>
            <w:gridSpan w:val="10"/>
            <w:shd w:val="clear" w:color="auto" w:fill="auto"/>
            <w:vAlign w:val="center"/>
          </w:tcPr>
          <w:p w14:paraId="202E6129">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二、</w:t>
            </w:r>
            <w:r>
              <w:rPr>
                <w:rFonts w:hint="eastAsia" w:ascii="宋体" w:hAnsi="宋体" w:eastAsia="宋体" w:cs="宋体"/>
                <w:color w:val="000000"/>
                <w:kern w:val="0"/>
                <w:sz w:val="20"/>
                <w:szCs w:val="20"/>
              </w:rPr>
              <w:t>整体绩效目标实现情况（60分）</w:t>
            </w:r>
          </w:p>
        </w:tc>
      </w:tr>
      <w:tr w14:paraId="3E59F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288" w:hRule="atLeast"/>
          <w:jc w:val="center"/>
        </w:trPr>
        <w:tc>
          <w:tcPr>
            <w:tcW w:w="980" w:type="dxa"/>
            <w:shd w:val="clear" w:color="auto" w:fill="auto"/>
            <w:vAlign w:val="center"/>
          </w:tcPr>
          <w:p w14:paraId="42C67E2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一级指标</w:t>
            </w:r>
          </w:p>
        </w:tc>
        <w:tc>
          <w:tcPr>
            <w:tcW w:w="980" w:type="dxa"/>
            <w:shd w:val="clear" w:color="auto" w:fill="auto"/>
            <w:vAlign w:val="center"/>
          </w:tcPr>
          <w:p w14:paraId="59E7E57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二级指标　</w:t>
            </w:r>
          </w:p>
        </w:tc>
        <w:tc>
          <w:tcPr>
            <w:tcW w:w="1520" w:type="dxa"/>
            <w:shd w:val="clear" w:color="auto" w:fill="auto"/>
            <w:vAlign w:val="center"/>
          </w:tcPr>
          <w:p w14:paraId="2388CB0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三级指标　</w:t>
            </w:r>
          </w:p>
        </w:tc>
        <w:tc>
          <w:tcPr>
            <w:tcW w:w="4340" w:type="dxa"/>
            <w:shd w:val="clear" w:color="auto" w:fill="auto"/>
            <w:vAlign w:val="center"/>
          </w:tcPr>
          <w:p w14:paraId="010BD4D5">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指标值</w:t>
            </w:r>
          </w:p>
        </w:tc>
        <w:tc>
          <w:tcPr>
            <w:tcW w:w="1983" w:type="dxa"/>
            <w:shd w:val="clear" w:color="auto" w:fill="auto"/>
            <w:vAlign w:val="center"/>
          </w:tcPr>
          <w:p w14:paraId="0F587C2B">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完成值</w:t>
            </w:r>
          </w:p>
        </w:tc>
        <w:tc>
          <w:tcPr>
            <w:tcW w:w="1300" w:type="dxa"/>
            <w:shd w:val="clear" w:color="auto" w:fill="auto"/>
            <w:vAlign w:val="center"/>
          </w:tcPr>
          <w:p w14:paraId="5AC20CD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分值</w:t>
            </w:r>
          </w:p>
        </w:tc>
        <w:tc>
          <w:tcPr>
            <w:tcW w:w="1240" w:type="dxa"/>
            <w:shd w:val="clear" w:color="auto" w:fill="auto"/>
            <w:vAlign w:val="center"/>
          </w:tcPr>
          <w:p w14:paraId="3D2AF9CF">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得分</w:t>
            </w:r>
          </w:p>
        </w:tc>
        <w:tc>
          <w:tcPr>
            <w:tcW w:w="1754" w:type="dxa"/>
            <w:shd w:val="clear" w:color="auto" w:fill="auto"/>
            <w:vAlign w:val="center"/>
          </w:tcPr>
          <w:p w14:paraId="1570313F">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指标解释</w:t>
            </w:r>
          </w:p>
        </w:tc>
        <w:tc>
          <w:tcPr>
            <w:tcW w:w="1995" w:type="dxa"/>
            <w:shd w:val="clear" w:color="auto" w:fill="auto"/>
            <w:vAlign w:val="center"/>
          </w:tcPr>
          <w:p w14:paraId="171C233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评分标准</w:t>
            </w:r>
          </w:p>
        </w:tc>
      </w:tr>
      <w:tr w14:paraId="621C9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560" w:hRule="atLeast"/>
          <w:jc w:val="center"/>
        </w:trPr>
        <w:tc>
          <w:tcPr>
            <w:tcW w:w="980" w:type="dxa"/>
            <w:vMerge w:val="restart"/>
            <w:shd w:val="clear" w:color="auto" w:fill="auto"/>
            <w:vAlign w:val="center"/>
          </w:tcPr>
          <w:p w14:paraId="6BE1563C">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整体绩效目标实现情况（60）</w:t>
            </w:r>
          </w:p>
        </w:tc>
        <w:tc>
          <w:tcPr>
            <w:tcW w:w="980" w:type="dxa"/>
            <w:vMerge w:val="restart"/>
            <w:shd w:val="clear" w:color="auto" w:fill="auto"/>
            <w:vAlign w:val="center"/>
          </w:tcPr>
          <w:p w14:paraId="6FA8C48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产出（30）</w:t>
            </w:r>
          </w:p>
        </w:tc>
        <w:tc>
          <w:tcPr>
            <w:tcW w:w="1520" w:type="dxa"/>
            <w:shd w:val="clear" w:color="auto" w:fill="auto"/>
            <w:vAlign w:val="center"/>
          </w:tcPr>
          <w:p w14:paraId="69E0BE6B">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产出数量</w:t>
            </w:r>
          </w:p>
        </w:tc>
        <w:tc>
          <w:tcPr>
            <w:tcW w:w="4340" w:type="dxa"/>
            <w:shd w:val="clear" w:color="auto" w:fill="auto"/>
            <w:vAlign w:val="center"/>
          </w:tcPr>
          <w:p w14:paraId="0C4B1F3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利用好服贸会、中关村论坛、金融街论坛，以及京港洽谈会、进博会、广交会等重大活动平台，开展系列投资促进活动，深入推进“投资北京”品牌认知与推广。支持各区围绕主导产业，策划打造具有国际影响力的招商推介活动</w:t>
            </w:r>
          </w:p>
        </w:tc>
        <w:tc>
          <w:tcPr>
            <w:tcW w:w="1983" w:type="dxa"/>
            <w:shd w:val="clear" w:color="auto" w:fill="auto"/>
            <w:vAlign w:val="center"/>
          </w:tcPr>
          <w:p w14:paraId="498DE564">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招商推介活动取得实效。通过制定实施投资中国年北京行动方案和全市招商引资推介活动安排计划，全年共举办各类招商推介活动233场，其中市</w:t>
            </w:r>
            <w:r>
              <w:rPr>
                <w:rFonts w:hint="eastAsia" w:ascii="宋体" w:hAnsi="宋体" w:eastAsia="宋体" w:cs="宋体"/>
                <w:color w:val="000000"/>
                <w:kern w:val="0"/>
                <w:sz w:val="20"/>
                <w:szCs w:val="20"/>
                <w:lang w:eastAsia="zh-CN"/>
              </w:rPr>
              <w:t>投资促进</w:t>
            </w:r>
            <w:r>
              <w:rPr>
                <w:rFonts w:hint="eastAsia" w:ascii="宋体" w:hAnsi="宋体" w:eastAsia="宋体" w:cs="宋体"/>
                <w:color w:val="000000"/>
                <w:kern w:val="0"/>
                <w:sz w:val="20"/>
                <w:szCs w:val="20"/>
              </w:rPr>
              <w:t>中心和相关部门举办38场、各区（经开区）举办195场。</w:t>
            </w:r>
          </w:p>
        </w:tc>
        <w:tc>
          <w:tcPr>
            <w:tcW w:w="1300" w:type="dxa"/>
            <w:shd w:val="clear" w:color="auto" w:fill="auto"/>
            <w:vAlign w:val="center"/>
          </w:tcPr>
          <w:p w14:paraId="3C815803">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240" w:type="dxa"/>
            <w:shd w:val="clear" w:color="auto" w:fill="auto"/>
            <w:noWrap/>
            <w:vAlign w:val="center"/>
          </w:tcPr>
          <w:p w14:paraId="455876F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754" w:type="dxa"/>
            <w:vMerge w:val="restart"/>
            <w:shd w:val="clear" w:color="auto" w:fill="auto"/>
            <w:vAlign w:val="center"/>
          </w:tcPr>
          <w:p w14:paraId="1B652F7F">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产出数量：</w:t>
            </w:r>
            <w:r>
              <w:rPr>
                <w:rFonts w:hint="eastAsia" w:ascii="宋体" w:hAnsi="宋体" w:eastAsia="宋体" w:cs="宋体"/>
                <w:color w:val="000000"/>
                <w:kern w:val="0"/>
                <w:sz w:val="18"/>
                <w:szCs w:val="18"/>
              </w:rPr>
              <w:t>计划完成率=（实际完成工作数/计划工作数）×100%。实际完成工作数：一定时期（年度或规划期）内部门（单位）实际完成工作任务的数量。计划工作数：部门（单位）整体绩效目标确定的一定时期（年度或规划期）内预计完成工作任务的数量。</w:t>
            </w:r>
            <w:r>
              <w:rPr>
                <w:rFonts w:hint="eastAsia" w:ascii="宋体" w:hAnsi="宋体" w:eastAsia="宋体" w:cs="宋体"/>
                <w:b/>
                <w:bCs/>
                <w:color w:val="000000"/>
                <w:kern w:val="0"/>
                <w:sz w:val="18"/>
                <w:szCs w:val="18"/>
              </w:rPr>
              <w:t>产出质量：</w:t>
            </w:r>
            <w:r>
              <w:rPr>
                <w:rFonts w:hint="eastAsia" w:ascii="宋体" w:hAnsi="宋体" w:eastAsia="宋体" w:cs="宋体"/>
                <w:color w:val="000000"/>
                <w:kern w:val="0"/>
                <w:sz w:val="18"/>
                <w:szCs w:val="18"/>
              </w:rPr>
              <w:t>质量达标率=质量达标工作数/实际完成工作数×100%。质量达标工作数：一定时期（年度或规划期）内部门（单位）实际完成工作数中达到部门绩效目标要求（绩效标准值）的工作任务数量。</w:t>
            </w:r>
            <w:r>
              <w:rPr>
                <w:rFonts w:hint="eastAsia" w:ascii="宋体" w:hAnsi="宋体" w:eastAsia="宋体" w:cs="宋体"/>
                <w:b/>
                <w:bCs/>
                <w:color w:val="000000"/>
                <w:kern w:val="0"/>
                <w:sz w:val="18"/>
                <w:szCs w:val="18"/>
              </w:rPr>
              <w:t>产出进度：</w:t>
            </w:r>
            <w:r>
              <w:rPr>
                <w:rFonts w:hint="eastAsia" w:ascii="宋体" w:hAnsi="宋体" w:eastAsia="宋体" w:cs="宋体"/>
                <w:color w:val="000000"/>
                <w:kern w:val="0"/>
                <w:sz w:val="18"/>
                <w:szCs w:val="18"/>
              </w:rPr>
              <w:t>按时完成率=（按时完成工作数/实际完成工作数）×100%。按时完成工作数：部门（单位）按照整体绩效目标确定的时限实际完成的工作任务数量。</w:t>
            </w:r>
            <w:r>
              <w:rPr>
                <w:rFonts w:hint="eastAsia" w:ascii="宋体" w:hAnsi="宋体" w:eastAsia="宋体" w:cs="宋体"/>
                <w:b/>
                <w:bCs/>
                <w:color w:val="000000"/>
                <w:kern w:val="0"/>
                <w:sz w:val="18"/>
                <w:szCs w:val="18"/>
              </w:rPr>
              <w:t>产出成本：</w:t>
            </w:r>
            <w:r>
              <w:rPr>
                <w:rFonts w:hint="eastAsia" w:ascii="宋体" w:hAnsi="宋体" w:eastAsia="宋体" w:cs="宋体"/>
                <w:color w:val="000000"/>
                <w:kern w:val="0"/>
                <w:sz w:val="18"/>
                <w:szCs w:val="18"/>
              </w:rPr>
              <w:t>单位产出相对于上一年度的节约额；②单位产出相对于市场同类产出的节约额；③部门公用经费的控制情况。</w:t>
            </w:r>
          </w:p>
        </w:tc>
        <w:tc>
          <w:tcPr>
            <w:tcW w:w="1995" w:type="dxa"/>
            <w:vMerge w:val="restart"/>
            <w:shd w:val="clear" w:color="auto" w:fill="auto"/>
            <w:vAlign w:val="center"/>
          </w:tcPr>
          <w:p w14:paraId="64CD31D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部门根据实际情况选择指标进行填写，并将其细化为相应的个性化指标。对于效益类指标可从受益对象瞄准度、受益广度和受益深度上进行设计分析。</w:t>
            </w:r>
          </w:p>
        </w:tc>
      </w:tr>
      <w:tr w14:paraId="66CAF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500" w:hRule="atLeast"/>
          <w:jc w:val="center"/>
        </w:trPr>
        <w:tc>
          <w:tcPr>
            <w:tcW w:w="980" w:type="dxa"/>
            <w:vMerge w:val="continue"/>
            <w:vAlign w:val="center"/>
          </w:tcPr>
          <w:p w14:paraId="539D4C1C">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57D5BF8A">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shd w:val="clear" w:color="auto" w:fill="auto"/>
            <w:vAlign w:val="center"/>
          </w:tcPr>
          <w:p w14:paraId="3D4B39BC">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产出质量</w:t>
            </w:r>
          </w:p>
        </w:tc>
        <w:tc>
          <w:tcPr>
            <w:tcW w:w="4340" w:type="dxa"/>
            <w:shd w:val="clear" w:color="auto" w:fill="auto"/>
            <w:vAlign w:val="center"/>
          </w:tcPr>
          <w:p w14:paraId="32601B63">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加强市区协同，成立市区联合项目组促进重大项目落地，建立健全市领导对重大项目现场调研、重大项目协调调度，招商项目信息共享、推介活动联合筹办等工作机制，健全完善招商引资工作评价指标体系和监督考评工作机制。</w:t>
            </w:r>
          </w:p>
        </w:tc>
        <w:tc>
          <w:tcPr>
            <w:tcW w:w="1983" w:type="dxa"/>
            <w:shd w:val="clear" w:color="auto" w:fill="auto"/>
            <w:vAlign w:val="center"/>
          </w:tcPr>
          <w:p w14:paraId="6984E2DA">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市区协同促进了一批首创性、突破性、标志性的大项目落地，如全国首家新设外商独资券商渣打证券(中国)、全国首批新设外商独资期货公司摩根士丹利期货(中国)、全市首家外资商业保理公司卡特彼勒商业保理和阿里巴巴北京总部园区项目等。</w:t>
            </w:r>
          </w:p>
        </w:tc>
        <w:tc>
          <w:tcPr>
            <w:tcW w:w="1300" w:type="dxa"/>
            <w:shd w:val="clear" w:color="auto" w:fill="auto"/>
            <w:vAlign w:val="center"/>
          </w:tcPr>
          <w:p w14:paraId="779FA09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240" w:type="dxa"/>
            <w:shd w:val="clear" w:color="auto" w:fill="auto"/>
            <w:noWrap/>
            <w:vAlign w:val="center"/>
          </w:tcPr>
          <w:p w14:paraId="4778FB9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754" w:type="dxa"/>
            <w:vMerge w:val="continue"/>
            <w:vAlign w:val="center"/>
          </w:tcPr>
          <w:p w14:paraId="2EB83A42">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b/>
                <w:bCs/>
                <w:color w:val="000000"/>
                <w:kern w:val="0"/>
                <w:sz w:val="18"/>
                <w:szCs w:val="18"/>
              </w:rPr>
            </w:pPr>
          </w:p>
        </w:tc>
        <w:tc>
          <w:tcPr>
            <w:tcW w:w="1995" w:type="dxa"/>
            <w:vMerge w:val="continue"/>
            <w:vAlign w:val="center"/>
          </w:tcPr>
          <w:p w14:paraId="17DA1CBB">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74C50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341" w:hRule="atLeast"/>
          <w:jc w:val="center"/>
        </w:trPr>
        <w:tc>
          <w:tcPr>
            <w:tcW w:w="980" w:type="dxa"/>
            <w:vMerge w:val="continue"/>
            <w:vAlign w:val="center"/>
          </w:tcPr>
          <w:p w14:paraId="3D0B3B25">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18D89948">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shd w:val="clear" w:color="auto" w:fill="auto"/>
            <w:vAlign w:val="center"/>
          </w:tcPr>
          <w:p w14:paraId="6C825DC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产出成本</w:t>
            </w:r>
          </w:p>
        </w:tc>
        <w:tc>
          <w:tcPr>
            <w:tcW w:w="4340" w:type="dxa"/>
            <w:shd w:val="clear" w:color="auto" w:fill="auto"/>
            <w:vAlign w:val="center"/>
          </w:tcPr>
          <w:p w14:paraId="779F95C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厉行节约控制部门公用经费支出</w:t>
            </w:r>
          </w:p>
        </w:tc>
        <w:tc>
          <w:tcPr>
            <w:tcW w:w="1983" w:type="dxa"/>
            <w:shd w:val="clear" w:color="auto" w:fill="auto"/>
            <w:vAlign w:val="center"/>
          </w:tcPr>
          <w:p w14:paraId="3CC81948">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2023年度公用经费决算支出284.168338万元比2022年度354.18478万元减少了70.016442万元。</w:t>
            </w:r>
          </w:p>
        </w:tc>
        <w:tc>
          <w:tcPr>
            <w:tcW w:w="1300" w:type="dxa"/>
            <w:shd w:val="clear" w:color="auto" w:fill="auto"/>
            <w:vAlign w:val="center"/>
          </w:tcPr>
          <w:p w14:paraId="26057B4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240" w:type="dxa"/>
            <w:shd w:val="clear" w:color="auto" w:fill="auto"/>
            <w:vAlign w:val="center"/>
          </w:tcPr>
          <w:p w14:paraId="5C4FF81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754" w:type="dxa"/>
            <w:vMerge w:val="continue"/>
            <w:vAlign w:val="center"/>
          </w:tcPr>
          <w:p w14:paraId="3CFFE0E0">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b/>
                <w:bCs/>
                <w:color w:val="000000"/>
                <w:kern w:val="0"/>
                <w:sz w:val="18"/>
                <w:szCs w:val="18"/>
              </w:rPr>
            </w:pPr>
          </w:p>
        </w:tc>
        <w:tc>
          <w:tcPr>
            <w:tcW w:w="1995" w:type="dxa"/>
            <w:vMerge w:val="continue"/>
            <w:vAlign w:val="center"/>
          </w:tcPr>
          <w:p w14:paraId="22EE6E08">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00499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380" w:hRule="atLeast"/>
          <w:jc w:val="center"/>
        </w:trPr>
        <w:tc>
          <w:tcPr>
            <w:tcW w:w="980" w:type="dxa"/>
            <w:vMerge w:val="continue"/>
            <w:vAlign w:val="center"/>
          </w:tcPr>
          <w:p w14:paraId="532AF16C">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restart"/>
            <w:shd w:val="clear" w:color="auto" w:fill="auto"/>
            <w:vAlign w:val="center"/>
          </w:tcPr>
          <w:p w14:paraId="24AB15DC">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效果（30）</w:t>
            </w:r>
          </w:p>
        </w:tc>
        <w:tc>
          <w:tcPr>
            <w:tcW w:w="1520" w:type="dxa"/>
            <w:vMerge w:val="restart"/>
            <w:shd w:val="clear" w:color="auto" w:fill="auto"/>
            <w:vAlign w:val="center"/>
          </w:tcPr>
          <w:p w14:paraId="1D8FBA4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社会效益</w:t>
            </w:r>
          </w:p>
        </w:tc>
        <w:tc>
          <w:tcPr>
            <w:tcW w:w="4340" w:type="dxa"/>
            <w:shd w:val="clear" w:color="auto" w:fill="auto"/>
            <w:vAlign w:val="center"/>
          </w:tcPr>
          <w:p w14:paraId="335F8685">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加快职能转变、业务转型服务升级。培养引进一批熟悉政策、了解国情市情、具有全球视野、熟练运用外语、通晓国际规则、精通国际谈判的投资促进人才。充分发挥社会智库和专家力量，为投资促进业务能力建设提供智力支撑。</w:t>
            </w:r>
          </w:p>
        </w:tc>
        <w:tc>
          <w:tcPr>
            <w:tcW w:w="1983" w:type="dxa"/>
            <w:shd w:val="clear" w:color="auto" w:fill="auto"/>
            <w:vAlign w:val="center"/>
          </w:tcPr>
          <w:p w14:paraId="206B9D4C">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kern w:val="0"/>
                <w:sz w:val="20"/>
                <w:szCs w:val="20"/>
              </w:rPr>
            </w:pPr>
            <w:r>
              <w:rPr>
                <w:rFonts w:hint="eastAsia" w:ascii="宋体" w:hAnsi="宋体" w:eastAsia="宋体" w:cs="宋体"/>
                <w:kern w:val="0"/>
                <w:sz w:val="20"/>
                <w:szCs w:val="20"/>
              </w:rPr>
              <w:t>组织开展全球合作伙伴房山行、昌平行、大兴行、东城行和副中心行等活动，促进合作伙伴与各区交流合作。发挥合作伙伴作用，协助邀请300家企业参加本市各类投资推介活动。</w:t>
            </w:r>
          </w:p>
        </w:tc>
        <w:tc>
          <w:tcPr>
            <w:tcW w:w="1300" w:type="dxa"/>
            <w:shd w:val="clear" w:color="auto" w:fill="auto"/>
            <w:noWrap/>
            <w:vAlign w:val="center"/>
          </w:tcPr>
          <w:p w14:paraId="2228645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240" w:type="dxa"/>
            <w:shd w:val="clear" w:color="auto" w:fill="auto"/>
            <w:noWrap/>
            <w:vAlign w:val="center"/>
          </w:tcPr>
          <w:p w14:paraId="496CF32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754" w:type="dxa"/>
            <w:vMerge w:val="restart"/>
            <w:shd w:val="clear" w:color="auto" w:fill="auto"/>
            <w:vAlign w:val="center"/>
          </w:tcPr>
          <w:p w14:paraId="0D0720C7">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经济效益</w:t>
            </w:r>
            <w:r>
              <w:rPr>
                <w:rFonts w:hint="eastAsia" w:ascii="宋体" w:hAnsi="宋体" w:eastAsia="宋体" w:cs="宋体"/>
                <w:color w:val="000000"/>
                <w:kern w:val="0"/>
                <w:sz w:val="18"/>
                <w:szCs w:val="18"/>
              </w:rPr>
              <w:t>：部门（单位）履行职责对经济发展所带来的直接或间接影响。</w:t>
            </w:r>
            <w:r>
              <w:rPr>
                <w:rFonts w:hint="eastAsia" w:ascii="宋体" w:hAnsi="宋体" w:eastAsia="宋体" w:cs="宋体"/>
                <w:b/>
                <w:bCs/>
                <w:color w:val="000000"/>
                <w:kern w:val="0"/>
                <w:sz w:val="18"/>
                <w:szCs w:val="18"/>
              </w:rPr>
              <w:t>社会效益</w:t>
            </w:r>
            <w:r>
              <w:rPr>
                <w:rFonts w:hint="eastAsia" w:ascii="宋体" w:hAnsi="宋体" w:eastAsia="宋体" w:cs="宋体"/>
                <w:color w:val="000000"/>
                <w:kern w:val="0"/>
                <w:sz w:val="18"/>
                <w:szCs w:val="18"/>
              </w:rPr>
              <w:t>：部门（单位）履行职责对社会发展所带来的直接或间接影响。</w:t>
            </w:r>
            <w:r>
              <w:rPr>
                <w:rFonts w:hint="eastAsia" w:ascii="宋体" w:hAnsi="宋体" w:eastAsia="宋体" w:cs="宋体"/>
                <w:b/>
                <w:bCs/>
                <w:color w:val="000000"/>
                <w:kern w:val="0"/>
                <w:sz w:val="18"/>
                <w:szCs w:val="18"/>
              </w:rPr>
              <w:t>环境效益</w:t>
            </w:r>
            <w:r>
              <w:rPr>
                <w:rFonts w:hint="eastAsia" w:ascii="宋体" w:hAnsi="宋体" w:eastAsia="宋体" w:cs="宋体"/>
                <w:color w:val="000000"/>
                <w:kern w:val="0"/>
                <w:sz w:val="18"/>
                <w:szCs w:val="18"/>
              </w:rPr>
              <w:t>：部门（单位）履行职责对环境所带来的直接或间接影响。</w:t>
            </w:r>
            <w:r>
              <w:rPr>
                <w:rFonts w:hint="eastAsia" w:ascii="宋体" w:hAnsi="宋体" w:eastAsia="宋体" w:cs="宋体"/>
                <w:b/>
                <w:bCs/>
                <w:color w:val="000000"/>
                <w:kern w:val="0"/>
                <w:sz w:val="18"/>
                <w:szCs w:val="18"/>
              </w:rPr>
              <w:t>可持续性影响：</w:t>
            </w:r>
            <w:r>
              <w:rPr>
                <w:rFonts w:hint="eastAsia" w:ascii="宋体" w:hAnsi="宋体" w:eastAsia="宋体" w:cs="宋体"/>
                <w:color w:val="000000"/>
                <w:kern w:val="0"/>
                <w:sz w:val="18"/>
                <w:szCs w:val="18"/>
              </w:rPr>
              <w:t>部门绩效目标实现的长效机制建设情况，部门工作效率提升措施的创新。</w:t>
            </w:r>
            <w:r>
              <w:rPr>
                <w:rFonts w:hint="eastAsia" w:ascii="宋体" w:hAnsi="宋体" w:eastAsia="宋体" w:cs="宋体"/>
                <w:b/>
                <w:bCs/>
                <w:color w:val="000000"/>
                <w:kern w:val="0"/>
                <w:sz w:val="18"/>
                <w:szCs w:val="18"/>
              </w:rPr>
              <w:t>服务对象满意度</w:t>
            </w:r>
            <w:r>
              <w:rPr>
                <w:rFonts w:hint="eastAsia" w:ascii="宋体" w:hAnsi="宋体" w:eastAsia="宋体" w:cs="宋体"/>
                <w:color w:val="000000"/>
                <w:kern w:val="0"/>
                <w:sz w:val="18"/>
                <w:szCs w:val="18"/>
              </w:rPr>
              <w:t>：部门（单位）的服务对象对部门履职效果的满意程度。</w:t>
            </w:r>
          </w:p>
        </w:tc>
        <w:tc>
          <w:tcPr>
            <w:tcW w:w="1995" w:type="dxa"/>
            <w:vMerge w:val="continue"/>
            <w:vAlign w:val="center"/>
          </w:tcPr>
          <w:p w14:paraId="6B2FEBFB">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57EC5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380" w:hRule="atLeast"/>
          <w:jc w:val="center"/>
        </w:trPr>
        <w:tc>
          <w:tcPr>
            <w:tcW w:w="980" w:type="dxa"/>
            <w:vMerge w:val="continue"/>
            <w:vAlign w:val="center"/>
          </w:tcPr>
          <w:p w14:paraId="143A3C28">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1075AEF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vMerge w:val="continue"/>
            <w:vAlign w:val="center"/>
          </w:tcPr>
          <w:p w14:paraId="7C4DF483">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4340" w:type="dxa"/>
            <w:shd w:val="clear" w:color="auto" w:fill="auto"/>
            <w:vAlign w:val="center"/>
          </w:tcPr>
          <w:p w14:paraId="27C49CF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汇聚市、区相关部门和社会相关数据资源，建设形成招商项目库、推介活动库、政策清单库、空间资源库、目标企业库、企业发展服务库、招商渠道资源库等主题应用数据库。推动招商引资基础信息市区共享，完善系统功能模块。</w:t>
            </w:r>
          </w:p>
        </w:tc>
        <w:tc>
          <w:tcPr>
            <w:tcW w:w="1983" w:type="dxa"/>
            <w:shd w:val="clear" w:color="auto" w:fill="auto"/>
            <w:vAlign w:val="center"/>
          </w:tcPr>
          <w:p w14:paraId="0BFC4422">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kern w:val="0"/>
                <w:sz w:val="20"/>
                <w:szCs w:val="20"/>
              </w:rPr>
            </w:pPr>
            <w:r>
              <w:rPr>
                <w:rFonts w:hint="eastAsia" w:ascii="宋体" w:hAnsi="宋体" w:eastAsia="宋体" w:cs="宋体"/>
                <w:kern w:val="0"/>
                <w:sz w:val="20"/>
                <w:szCs w:val="20"/>
              </w:rPr>
              <w:t>15个区和经开区通过直接派驻、与中介机构合作等方式在境内外布局招商站点，2023年新增招商站点42个，总数达65个。</w:t>
            </w:r>
          </w:p>
        </w:tc>
        <w:tc>
          <w:tcPr>
            <w:tcW w:w="1300" w:type="dxa"/>
            <w:shd w:val="clear" w:color="auto" w:fill="auto"/>
            <w:noWrap/>
            <w:vAlign w:val="center"/>
          </w:tcPr>
          <w:p w14:paraId="2E5B323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240" w:type="dxa"/>
            <w:shd w:val="clear" w:color="auto" w:fill="auto"/>
            <w:noWrap/>
            <w:vAlign w:val="center"/>
          </w:tcPr>
          <w:p w14:paraId="6453FA83">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754" w:type="dxa"/>
            <w:vMerge w:val="continue"/>
            <w:vAlign w:val="center"/>
          </w:tcPr>
          <w:p w14:paraId="22E36F62">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b/>
                <w:bCs/>
                <w:color w:val="000000"/>
                <w:kern w:val="0"/>
                <w:sz w:val="18"/>
                <w:szCs w:val="18"/>
              </w:rPr>
            </w:pPr>
          </w:p>
        </w:tc>
        <w:tc>
          <w:tcPr>
            <w:tcW w:w="1995" w:type="dxa"/>
            <w:vMerge w:val="continue"/>
            <w:vAlign w:val="center"/>
          </w:tcPr>
          <w:p w14:paraId="0A8C0E18">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3E545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380" w:hRule="atLeast"/>
          <w:jc w:val="center"/>
        </w:trPr>
        <w:tc>
          <w:tcPr>
            <w:tcW w:w="980" w:type="dxa"/>
            <w:vMerge w:val="continue"/>
            <w:vAlign w:val="center"/>
          </w:tcPr>
          <w:p w14:paraId="75F53519">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38CD6EAF">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vMerge w:val="continue"/>
            <w:vAlign w:val="center"/>
          </w:tcPr>
          <w:p w14:paraId="72D9B88D">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4340" w:type="dxa"/>
            <w:shd w:val="clear" w:color="auto" w:fill="auto"/>
            <w:vAlign w:val="center"/>
          </w:tcPr>
          <w:p w14:paraId="63E9CCF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充分利用全球知名专业服务机构和境外、京外各类商协会资源优势，建立覆盖全球主要国家（地区）和国内经济发达地区的专业渠道招商网络，为项目来京落地提供各项专业服务。探索与全球重点城市建立联系、合作工作机制。</w:t>
            </w:r>
          </w:p>
        </w:tc>
        <w:tc>
          <w:tcPr>
            <w:tcW w:w="1983" w:type="dxa"/>
            <w:shd w:val="clear" w:color="auto" w:fill="auto"/>
            <w:vAlign w:val="center"/>
          </w:tcPr>
          <w:p w14:paraId="11BECDB3">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kern w:val="0"/>
                <w:sz w:val="20"/>
                <w:szCs w:val="20"/>
              </w:rPr>
            </w:pPr>
            <w:r>
              <w:rPr>
                <w:rFonts w:hint="eastAsia" w:ascii="宋体" w:hAnsi="宋体" w:eastAsia="宋体" w:cs="宋体"/>
                <w:kern w:val="0"/>
                <w:sz w:val="20"/>
                <w:szCs w:val="20"/>
              </w:rPr>
              <w:t>加强与国际投资促进机构交流合作。加入世界投资促进机构协会完成入会协议签署，与中欧投资促进会等17家发达国家（地区）商协会和德国联邦经济发展与对外贸易委员会等4家境外投促机构建立联系，国际招商渠道进一步拓展。</w:t>
            </w:r>
          </w:p>
        </w:tc>
        <w:tc>
          <w:tcPr>
            <w:tcW w:w="1300" w:type="dxa"/>
            <w:shd w:val="clear" w:color="auto" w:fill="auto"/>
            <w:noWrap/>
            <w:vAlign w:val="center"/>
          </w:tcPr>
          <w:p w14:paraId="45727D9A">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7</w:t>
            </w:r>
          </w:p>
        </w:tc>
        <w:tc>
          <w:tcPr>
            <w:tcW w:w="1240" w:type="dxa"/>
            <w:shd w:val="clear" w:color="auto" w:fill="auto"/>
            <w:noWrap/>
            <w:vAlign w:val="center"/>
          </w:tcPr>
          <w:p w14:paraId="4EB30F65">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6</w:t>
            </w:r>
          </w:p>
        </w:tc>
        <w:tc>
          <w:tcPr>
            <w:tcW w:w="1754" w:type="dxa"/>
            <w:vMerge w:val="continue"/>
            <w:vAlign w:val="center"/>
          </w:tcPr>
          <w:p w14:paraId="789DC4D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b/>
                <w:bCs/>
                <w:color w:val="000000"/>
                <w:kern w:val="0"/>
                <w:sz w:val="18"/>
                <w:szCs w:val="18"/>
              </w:rPr>
            </w:pPr>
          </w:p>
        </w:tc>
        <w:tc>
          <w:tcPr>
            <w:tcW w:w="1995" w:type="dxa"/>
            <w:vMerge w:val="continue"/>
            <w:vAlign w:val="center"/>
          </w:tcPr>
          <w:p w14:paraId="371DCCBA">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45FFF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380" w:hRule="atLeast"/>
          <w:jc w:val="center"/>
        </w:trPr>
        <w:tc>
          <w:tcPr>
            <w:tcW w:w="980" w:type="dxa"/>
            <w:vMerge w:val="continue"/>
            <w:vAlign w:val="center"/>
          </w:tcPr>
          <w:p w14:paraId="11BDFD9C">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22CDDA09">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shd w:val="clear" w:color="auto" w:fill="auto"/>
            <w:vAlign w:val="center"/>
          </w:tcPr>
          <w:p w14:paraId="6DC051F7">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服务对象满意度</w:t>
            </w:r>
          </w:p>
        </w:tc>
        <w:tc>
          <w:tcPr>
            <w:tcW w:w="4340" w:type="dxa"/>
            <w:shd w:val="clear" w:color="auto" w:fill="auto"/>
            <w:vAlign w:val="center"/>
          </w:tcPr>
          <w:p w14:paraId="50CA7A6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汇聚国家、市级和各区的相关产业、区域支持政策，形成“市级统一+各区特色+行业特点”的政策服务包。用好12345企业服务热线等平台，强化政策宣传和咨询解读。</w:t>
            </w:r>
          </w:p>
        </w:tc>
        <w:tc>
          <w:tcPr>
            <w:tcW w:w="1983" w:type="dxa"/>
            <w:shd w:val="clear" w:color="auto" w:fill="auto"/>
            <w:vAlign w:val="center"/>
          </w:tcPr>
          <w:p w14:paraId="44AEC68C">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kern w:val="0"/>
                <w:sz w:val="20"/>
                <w:szCs w:val="20"/>
              </w:rPr>
            </w:pPr>
            <w:r>
              <w:rPr>
                <w:rFonts w:hint="eastAsia" w:ascii="宋体" w:hAnsi="宋体" w:eastAsia="宋体" w:cs="宋体"/>
                <w:kern w:val="0"/>
                <w:sz w:val="20"/>
                <w:szCs w:val="20"/>
              </w:rPr>
              <w:t>服务专员协调各区、相关部门办理企业诉求2349条，已办结2296条,办结率97.7%。12345企业热线服务受理疑难工单257件，已全部办结。</w:t>
            </w:r>
          </w:p>
        </w:tc>
        <w:tc>
          <w:tcPr>
            <w:tcW w:w="1300" w:type="dxa"/>
            <w:shd w:val="clear" w:color="auto" w:fill="auto"/>
            <w:noWrap/>
            <w:vAlign w:val="center"/>
          </w:tcPr>
          <w:p w14:paraId="4B9D75B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w:t>
            </w:r>
          </w:p>
        </w:tc>
        <w:tc>
          <w:tcPr>
            <w:tcW w:w="1240" w:type="dxa"/>
            <w:shd w:val="clear" w:color="auto" w:fill="auto"/>
            <w:noWrap/>
            <w:vAlign w:val="center"/>
          </w:tcPr>
          <w:p w14:paraId="6180154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w:t>
            </w:r>
          </w:p>
        </w:tc>
        <w:tc>
          <w:tcPr>
            <w:tcW w:w="1754" w:type="dxa"/>
            <w:vMerge w:val="continue"/>
            <w:vAlign w:val="center"/>
          </w:tcPr>
          <w:p w14:paraId="718A7B2F">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b/>
                <w:bCs/>
                <w:color w:val="000000"/>
                <w:kern w:val="0"/>
                <w:sz w:val="18"/>
                <w:szCs w:val="18"/>
              </w:rPr>
            </w:pPr>
          </w:p>
        </w:tc>
        <w:tc>
          <w:tcPr>
            <w:tcW w:w="1995" w:type="dxa"/>
            <w:vMerge w:val="continue"/>
            <w:vAlign w:val="center"/>
          </w:tcPr>
          <w:p w14:paraId="12A5AED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6D27C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6101" w:type="dxa"/>
            <w:gridSpan w:val="10"/>
            <w:shd w:val="clear" w:color="auto" w:fill="auto"/>
            <w:vAlign w:val="center"/>
          </w:tcPr>
          <w:p w14:paraId="7781541F">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三、</w:t>
            </w:r>
            <w:r>
              <w:rPr>
                <w:rFonts w:hint="eastAsia" w:ascii="宋体" w:hAnsi="宋体" w:eastAsia="宋体" w:cs="宋体"/>
                <w:color w:val="000000"/>
                <w:kern w:val="0"/>
                <w:sz w:val="20"/>
                <w:szCs w:val="20"/>
              </w:rPr>
              <w:t>预算管理情况（20分）</w:t>
            </w:r>
          </w:p>
        </w:tc>
      </w:tr>
      <w:tr w14:paraId="47BA3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288" w:hRule="atLeast"/>
          <w:jc w:val="center"/>
        </w:trPr>
        <w:tc>
          <w:tcPr>
            <w:tcW w:w="980" w:type="dxa"/>
            <w:shd w:val="clear" w:color="auto" w:fill="auto"/>
            <w:vAlign w:val="center"/>
          </w:tcPr>
          <w:p w14:paraId="2AD4FBDB">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一级指标</w:t>
            </w:r>
          </w:p>
        </w:tc>
        <w:tc>
          <w:tcPr>
            <w:tcW w:w="980" w:type="dxa"/>
            <w:shd w:val="clear" w:color="auto" w:fill="auto"/>
            <w:vAlign w:val="center"/>
          </w:tcPr>
          <w:p w14:paraId="19182A17">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二级指标</w:t>
            </w:r>
          </w:p>
        </w:tc>
        <w:tc>
          <w:tcPr>
            <w:tcW w:w="1520" w:type="dxa"/>
            <w:shd w:val="clear" w:color="auto" w:fill="auto"/>
            <w:vAlign w:val="center"/>
          </w:tcPr>
          <w:p w14:paraId="4D59A407">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三级指标</w:t>
            </w:r>
          </w:p>
        </w:tc>
        <w:tc>
          <w:tcPr>
            <w:tcW w:w="4340" w:type="dxa"/>
            <w:shd w:val="clear" w:color="auto" w:fill="auto"/>
            <w:vAlign w:val="center"/>
          </w:tcPr>
          <w:p w14:paraId="0E51E9F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指标值</w:t>
            </w:r>
          </w:p>
        </w:tc>
        <w:tc>
          <w:tcPr>
            <w:tcW w:w="1983" w:type="dxa"/>
            <w:shd w:val="clear" w:color="auto" w:fill="auto"/>
            <w:vAlign w:val="center"/>
          </w:tcPr>
          <w:p w14:paraId="16B8860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完成值</w:t>
            </w:r>
          </w:p>
        </w:tc>
        <w:tc>
          <w:tcPr>
            <w:tcW w:w="1300" w:type="dxa"/>
            <w:shd w:val="clear" w:color="auto" w:fill="auto"/>
            <w:noWrap/>
            <w:vAlign w:val="center"/>
          </w:tcPr>
          <w:p w14:paraId="330224E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分值</w:t>
            </w:r>
          </w:p>
        </w:tc>
        <w:tc>
          <w:tcPr>
            <w:tcW w:w="1240" w:type="dxa"/>
            <w:shd w:val="clear" w:color="auto" w:fill="auto"/>
            <w:noWrap/>
            <w:vAlign w:val="center"/>
          </w:tcPr>
          <w:p w14:paraId="2CD5564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得分</w:t>
            </w:r>
          </w:p>
        </w:tc>
        <w:tc>
          <w:tcPr>
            <w:tcW w:w="1754" w:type="dxa"/>
            <w:shd w:val="clear" w:color="auto" w:fill="auto"/>
            <w:vAlign w:val="center"/>
          </w:tcPr>
          <w:p w14:paraId="65A082F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指标解释</w:t>
            </w:r>
          </w:p>
        </w:tc>
        <w:tc>
          <w:tcPr>
            <w:tcW w:w="1995" w:type="dxa"/>
            <w:shd w:val="clear" w:color="auto" w:fill="auto"/>
            <w:vAlign w:val="center"/>
          </w:tcPr>
          <w:p w14:paraId="2A4DA3F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评分标准</w:t>
            </w:r>
          </w:p>
        </w:tc>
      </w:tr>
      <w:tr w14:paraId="2F274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864" w:hRule="atLeast"/>
          <w:jc w:val="center"/>
        </w:trPr>
        <w:tc>
          <w:tcPr>
            <w:tcW w:w="980" w:type="dxa"/>
            <w:vMerge w:val="restart"/>
            <w:shd w:val="clear" w:color="auto" w:fill="auto"/>
            <w:vAlign w:val="center"/>
          </w:tcPr>
          <w:p w14:paraId="37BE9A7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预算管理情况（20）</w:t>
            </w:r>
          </w:p>
        </w:tc>
        <w:tc>
          <w:tcPr>
            <w:tcW w:w="980" w:type="dxa"/>
            <w:vMerge w:val="restart"/>
            <w:shd w:val="clear" w:color="auto" w:fill="auto"/>
            <w:vAlign w:val="center"/>
          </w:tcPr>
          <w:p w14:paraId="1E9E732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财务管理（4）</w:t>
            </w:r>
          </w:p>
        </w:tc>
        <w:tc>
          <w:tcPr>
            <w:tcW w:w="1520" w:type="dxa"/>
            <w:shd w:val="clear" w:color="auto" w:fill="auto"/>
            <w:vAlign w:val="center"/>
          </w:tcPr>
          <w:p w14:paraId="12C5AD05">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财务管理制度健全性</w:t>
            </w:r>
          </w:p>
        </w:tc>
        <w:tc>
          <w:tcPr>
            <w:tcW w:w="4340" w:type="dxa"/>
            <w:shd w:val="clear" w:color="auto" w:fill="auto"/>
            <w:vAlign w:val="center"/>
          </w:tcPr>
          <w:p w14:paraId="2F808A6B">
            <w:pPr>
              <w:keepNext w:val="0"/>
              <w:keepLines w:val="0"/>
              <w:pageBreakBefore w:val="0"/>
              <w:widowControl/>
              <w:kinsoku/>
              <w:wordWrap/>
              <w:overflowPunct/>
              <w:topLinePunct w:val="0"/>
              <w:autoSpaceDE/>
              <w:autoSpaceDN/>
              <w:bidi w:val="0"/>
              <w:spacing w:line="560" w:lineRule="exac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各项制度健全，财务管理制度及会计核算制度完整、合规　</w:t>
            </w:r>
          </w:p>
        </w:tc>
        <w:tc>
          <w:tcPr>
            <w:tcW w:w="1983" w:type="dxa"/>
            <w:shd w:val="clear" w:color="auto" w:fill="auto"/>
            <w:vAlign w:val="center"/>
          </w:tcPr>
          <w:p w14:paraId="63929382">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kern w:val="0"/>
                <w:sz w:val="20"/>
                <w:szCs w:val="20"/>
              </w:rPr>
            </w:pPr>
            <w:r>
              <w:rPr>
                <w:rFonts w:hint="eastAsia" w:ascii="宋体" w:hAnsi="宋体" w:eastAsia="宋体" w:cs="宋体"/>
                <w:kern w:val="0"/>
                <w:sz w:val="20"/>
                <w:szCs w:val="20"/>
              </w:rPr>
              <w:t>预算管理办法、预算绩效管理办法、资金支出管理办法等各项制度健全；部门综合财务管理制度完整、合规；会计核算制度完整、合规</w:t>
            </w:r>
          </w:p>
        </w:tc>
        <w:tc>
          <w:tcPr>
            <w:tcW w:w="1300" w:type="dxa"/>
            <w:shd w:val="clear" w:color="auto" w:fill="auto"/>
            <w:noWrap/>
            <w:vAlign w:val="center"/>
          </w:tcPr>
          <w:p w14:paraId="3335AF2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240" w:type="dxa"/>
            <w:shd w:val="clear" w:color="auto" w:fill="auto"/>
            <w:noWrap/>
            <w:vAlign w:val="center"/>
          </w:tcPr>
          <w:p w14:paraId="4A83BE03">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754" w:type="dxa"/>
            <w:shd w:val="clear" w:color="auto" w:fill="auto"/>
            <w:vAlign w:val="center"/>
          </w:tcPr>
          <w:p w14:paraId="42E57B96">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财务管理制度健全性:</w:t>
            </w:r>
            <w:r>
              <w:rPr>
                <w:rFonts w:hint="eastAsia" w:ascii="宋体" w:hAnsi="宋体" w:eastAsia="宋体" w:cs="宋体"/>
                <w:color w:val="000000"/>
                <w:kern w:val="0"/>
                <w:sz w:val="18"/>
                <w:szCs w:val="18"/>
              </w:rPr>
              <w:t>部门（单位）为加强财务管理、规范财务行为而制定的管理制度。</w:t>
            </w:r>
          </w:p>
        </w:tc>
        <w:tc>
          <w:tcPr>
            <w:tcW w:w="1995" w:type="dxa"/>
            <w:shd w:val="clear" w:color="auto" w:fill="auto"/>
            <w:vAlign w:val="center"/>
          </w:tcPr>
          <w:p w14:paraId="3EB2A257">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①预算资金管理办法、绩效跟踪管理办法、资产管理办法等各项制度是否健全；②部门内部财务管理制度是否完整、合规；③会计核算制度是否完整、合规。每有一项不合格扣0.5分，扣完为止。</w:t>
            </w:r>
          </w:p>
        </w:tc>
      </w:tr>
      <w:tr w14:paraId="0E152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728" w:hRule="atLeast"/>
          <w:jc w:val="center"/>
        </w:trPr>
        <w:tc>
          <w:tcPr>
            <w:tcW w:w="980" w:type="dxa"/>
            <w:vMerge w:val="continue"/>
            <w:vAlign w:val="center"/>
          </w:tcPr>
          <w:p w14:paraId="360AAE44">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401D50B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shd w:val="clear" w:color="auto" w:fill="auto"/>
            <w:vAlign w:val="center"/>
          </w:tcPr>
          <w:p w14:paraId="45E3732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资金使用合规性和安全性</w:t>
            </w:r>
          </w:p>
        </w:tc>
        <w:tc>
          <w:tcPr>
            <w:tcW w:w="4340" w:type="dxa"/>
            <w:shd w:val="clear" w:color="auto" w:fill="auto"/>
            <w:vAlign w:val="center"/>
          </w:tcPr>
          <w:p w14:paraId="69005A7F">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预算资金的使用符合相关的预算财务管理制度规定，开支范围合理，符合政府采购的程序和流程；资金的拨付有完整的审批程序　</w:t>
            </w:r>
          </w:p>
        </w:tc>
        <w:tc>
          <w:tcPr>
            <w:tcW w:w="1983" w:type="dxa"/>
            <w:shd w:val="clear" w:color="auto" w:fill="auto"/>
            <w:vAlign w:val="center"/>
          </w:tcPr>
          <w:p w14:paraId="643D09CD">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金使用符合国家财经法规和本中心财务管理制度规定以及有关专项资金管理办法的规定；资金的拨付做到有完整的审批程序和手续；项目的重大开支经过上会决策；资金使用符合政府采购的程序和流程；能够按照公务卡结算相关制度和规定执行。</w:t>
            </w:r>
          </w:p>
        </w:tc>
        <w:tc>
          <w:tcPr>
            <w:tcW w:w="1300" w:type="dxa"/>
            <w:shd w:val="clear" w:color="auto" w:fill="auto"/>
            <w:noWrap/>
            <w:vAlign w:val="center"/>
          </w:tcPr>
          <w:p w14:paraId="64D1EF1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240" w:type="dxa"/>
            <w:shd w:val="clear" w:color="auto" w:fill="auto"/>
            <w:noWrap/>
            <w:vAlign w:val="center"/>
          </w:tcPr>
          <w:p w14:paraId="721369E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w:t>
            </w:r>
          </w:p>
        </w:tc>
        <w:tc>
          <w:tcPr>
            <w:tcW w:w="1754" w:type="dxa"/>
            <w:shd w:val="clear" w:color="auto" w:fill="auto"/>
            <w:vAlign w:val="center"/>
          </w:tcPr>
          <w:p w14:paraId="0C44A4CD">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资金使用合规性和安全性:</w:t>
            </w:r>
            <w:r>
              <w:rPr>
                <w:rFonts w:hint="eastAsia" w:ascii="宋体" w:hAnsi="宋体" w:eastAsia="宋体" w:cs="宋体"/>
                <w:color w:val="000000"/>
                <w:kern w:val="0"/>
                <w:sz w:val="18"/>
                <w:szCs w:val="18"/>
              </w:rPr>
              <w:t>部门（单位）使用预算资金是否符合相关的预算财务管理制度的规定，是否符合相关规定的开支范围，用以反映考核部门（单位）预算资金的规范运行和安全运行情况。</w:t>
            </w:r>
          </w:p>
        </w:tc>
        <w:tc>
          <w:tcPr>
            <w:tcW w:w="1995" w:type="dxa"/>
            <w:shd w:val="clear" w:color="auto" w:fill="auto"/>
            <w:vAlign w:val="center"/>
          </w:tcPr>
          <w:p w14:paraId="46A0C513">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①是否符合国家财经法规和财务管理制度规定以及有关专项资金管理办法的规定；②资金的拨付是否有完整的审批程序和手续；③项目的重大开支是否经过评估论证；④是否符合部门预算批复的用途；⑤是否存在截留、挤占、挪用情况；⑥资金使用是否符合政府采购的程序和流程；⑦资金使用是否符合公务卡结算相关制度和规定。每有一项不合格扣0.5分，扣完为止。</w:t>
            </w:r>
          </w:p>
        </w:tc>
      </w:tr>
      <w:tr w14:paraId="36924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864" w:hRule="atLeast"/>
          <w:jc w:val="center"/>
        </w:trPr>
        <w:tc>
          <w:tcPr>
            <w:tcW w:w="980" w:type="dxa"/>
            <w:vMerge w:val="continue"/>
            <w:vAlign w:val="center"/>
          </w:tcPr>
          <w:p w14:paraId="030AE950">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0F0C2036">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520" w:type="dxa"/>
            <w:shd w:val="clear" w:color="auto" w:fill="auto"/>
            <w:vAlign w:val="center"/>
          </w:tcPr>
          <w:p w14:paraId="2EBF4FC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会计基础信息完善性</w:t>
            </w:r>
          </w:p>
        </w:tc>
        <w:tc>
          <w:tcPr>
            <w:tcW w:w="4340" w:type="dxa"/>
            <w:shd w:val="clear" w:color="auto" w:fill="auto"/>
            <w:vAlign w:val="center"/>
          </w:tcPr>
          <w:p w14:paraId="4F3CFE4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基础数据信息、会计信息真实、完整、准确　</w:t>
            </w:r>
          </w:p>
        </w:tc>
        <w:tc>
          <w:tcPr>
            <w:tcW w:w="1983" w:type="dxa"/>
            <w:shd w:val="clear" w:color="auto" w:fill="auto"/>
            <w:vAlign w:val="center"/>
          </w:tcPr>
          <w:p w14:paraId="2BA3CEE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做到了完整、真实、准确</w:t>
            </w:r>
          </w:p>
        </w:tc>
        <w:tc>
          <w:tcPr>
            <w:tcW w:w="1300" w:type="dxa"/>
            <w:shd w:val="clear" w:color="auto" w:fill="auto"/>
            <w:noWrap/>
            <w:vAlign w:val="center"/>
          </w:tcPr>
          <w:p w14:paraId="7FDD9E4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240" w:type="dxa"/>
            <w:shd w:val="clear" w:color="auto" w:fill="auto"/>
            <w:noWrap/>
            <w:vAlign w:val="center"/>
          </w:tcPr>
          <w:p w14:paraId="350AFBCA">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w:t>
            </w:r>
          </w:p>
        </w:tc>
        <w:tc>
          <w:tcPr>
            <w:tcW w:w="1754" w:type="dxa"/>
            <w:shd w:val="clear" w:color="auto" w:fill="auto"/>
            <w:vAlign w:val="center"/>
          </w:tcPr>
          <w:p w14:paraId="0A72B6E8">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会计基础信息完善性:</w:t>
            </w:r>
            <w:r>
              <w:rPr>
                <w:rFonts w:hint="eastAsia" w:ascii="宋体" w:hAnsi="宋体" w:eastAsia="宋体" w:cs="宋体"/>
                <w:color w:val="000000"/>
                <w:kern w:val="0"/>
                <w:sz w:val="18"/>
                <w:szCs w:val="18"/>
              </w:rPr>
              <w:t>部门（单位）会计基础信息情况。</w:t>
            </w:r>
          </w:p>
        </w:tc>
        <w:tc>
          <w:tcPr>
            <w:tcW w:w="1995" w:type="dxa"/>
            <w:shd w:val="clear" w:color="auto" w:fill="auto"/>
            <w:vAlign w:val="center"/>
          </w:tcPr>
          <w:p w14:paraId="1C338584">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①基础数据信息和会计信息资料是否真实；②基础数据信息和会计信息资料是否完整；③基础数据信息和会计信息资料是否准确。每有一项不合格扣0.5分，扣完为止。</w:t>
            </w:r>
          </w:p>
        </w:tc>
      </w:tr>
      <w:tr w14:paraId="46D74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1512" w:hRule="atLeast"/>
          <w:jc w:val="center"/>
        </w:trPr>
        <w:tc>
          <w:tcPr>
            <w:tcW w:w="980" w:type="dxa"/>
            <w:vMerge w:val="continue"/>
            <w:vAlign w:val="center"/>
          </w:tcPr>
          <w:p w14:paraId="4759E65F">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693777B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资产管理（4）</w:t>
            </w:r>
          </w:p>
        </w:tc>
        <w:tc>
          <w:tcPr>
            <w:tcW w:w="1520" w:type="dxa"/>
            <w:shd w:val="clear" w:color="auto" w:fill="auto"/>
            <w:vAlign w:val="center"/>
          </w:tcPr>
          <w:p w14:paraId="6585650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资产管理规范性</w:t>
            </w:r>
          </w:p>
        </w:tc>
        <w:tc>
          <w:tcPr>
            <w:tcW w:w="4340" w:type="dxa"/>
            <w:shd w:val="clear" w:color="auto" w:fill="auto"/>
            <w:vAlign w:val="center"/>
          </w:tcPr>
          <w:p w14:paraId="0967157D">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资产保持安全完整，合理配置资产，资产使用及处置规范</w:t>
            </w:r>
          </w:p>
        </w:tc>
        <w:tc>
          <w:tcPr>
            <w:tcW w:w="1983" w:type="dxa"/>
            <w:shd w:val="clear" w:color="auto" w:fill="auto"/>
            <w:vAlign w:val="center"/>
          </w:tcPr>
          <w:p w14:paraId="47C74609">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资产配置、使用、处置符合规范，按要求进行报批；按资产管理制度办法执行。</w:t>
            </w:r>
          </w:p>
        </w:tc>
        <w:tc>
          <w:tcPr>
            <w:tcW w:w="1300" w:type="dxa"/>
            <w:shd w:val="clear" w:color="auto" w:fill="auto"/>
            <w:vAlign w:val="center"/>
          </w:tcPr>
          <w:p w14:paraId="520415A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240" w:type="dxa"/>
            <w:shd w:val="clear" w:color="auto" w:fill="auto"/>
            <w:vAlign w:val="center"/>
          </w:tcPr>
          <w:p w14:paraId="2C2798A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754" w:type="dxa"/>
            <w:shd w:val="clear" w:color="auto" w:fill="auto"/>
            <w:vAlign w:val="center"/>
          </w:tcPr>
          <w:p w14:paraId="6159AFA1">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资产管理规范性:</w:t>
            </w:r>
            <w:r>
              <w:rPr>
                <w:rFonts w:hint="eastAsia" w:ascii="宋体" w:hAnsi="宋体" w:eastAsia="宋体" w:cs="宋体"/>
                <w:color w:val="000000"/>
                <w:kern w:val="0"/>
                <w:sz w:val="18"/>
                <w:szCs w:val="18"/>
              </w:rPr>
              <w:t>部门（单位）的资产是否保持安全完整，资产配置是否合理，资产使用和资产处理是否规范，用以反映和考核部门（单位）资产管理的整体水平。</w:t>
            </w:r>
          </w:p>
        </w:tc>
        <w:tc>
          <w:tcPr>
            <w:tcW w:w="1995" w:type="dxa"/>
            <w:shd w:val="clear" w:color="auto" w:fill="auto"/>
            <w:vAlign w:val="center"/>
          </w:tcPr>
          <w:p w14:paraId="02AC1110">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①对外投资行为是否经审批，是否存在投资亏损；②是否有因管理不当发生严重资产损失和丢失情况；③是否存在超标准配置资产；④资产使用是否规范，是否存在未经批准擅自出租、出借资产行为；⑤资产处置是否规范，是否存在不按要求进行报批或资产不公开处置行为；⑥其它资产管理制度办法执行情况。每有一项不合格扣0.8分，扣完为止。</w:t>
            </w:r>
          </w:p>
        </w:tc>
      </w:tr>
      <w:tr w14:paraId="14718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720" w:hRule="atLeast"/>
          <w:jc w:val="center"/>
        </w:trPr>
        <w:tc>
          <w:tcPr>
            <w:tcW w:w="980" w:type="dxa"/>
            <w:vMerge w:val="continue"/>
            <w:vAlign w:val="center"/>
          </w:tcPr>
          <w:p w14:paraId="53D9FDFD">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3400E96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绩效管理（4）</w:t>
            </w:r>
          </w:p>
        </w:tc>
        <w:tc>
          <w:tcPr>
            <w:tcW w:w="1520" w:type="dxa"/>
            <w:shd w:val="clear" w:color="auto" w:fill="auto"/>
            <w:vAlign w:val="center"/>
          </w:tcPr>
          <w:p w14:paraId="30219A3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绩效管理情况</w:t>
            </w:r>
          </w:p>
        </w:tc>
        <w:tc>
          <w:tcPr>
            <w:tcW w:w="4340" w:type="dxa"/>
            <w:shd w:val="clear" w:color="auto" w:fill="auto"/>
            <w:vAlign w:val="center"/>
          </w:tcPr>
          <w:p w14:paraId="17669149">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对绩效信息及时进行汇总分析整理，对绩效目标偏离情况及时进行矫正。</w:t>
            </w:r>
          </w:p>
        </w:tc>
        <w:tc>
          <w:tcPr>
            <w:tcW w:w="1983" w:type="dxa"/>
            <w:shd w:val="clear" w:color="auto" w:fill="auto"/>
            <w:vAlign w:val="center"/>
          </w:tcPr>
          <w:p w14:paraId="6E3D3F6D">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能够及时对绩效信息进行汇总分析整理；成立绩效工作组，对绩效目标偏离情况能及时进行矫正</w:t>
            </w:r>
          </w:p>
        </w:tc>
        <w:tc>
          <w:tcPr>
            <w:tcW w:w="1300" w:type="dxa"/>
            <w:shd w:val="clear" w:color="auto" w:fill="auto"/>
            <w:vAlign w:val="center"/>
          </w:tcPr>
          <w:p w14:paraId="5DFD6EA7">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240" w:type="dxa"/>
            <w:shd w:val="clear" w:color="auto" w:fill="auto"/>
            <w:vAlign w:val="center"/>
          </w:tcPr>
          <w:p w14:paraId="08135C69">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754" w:type="dxa"/>
            <w:shd w:val="clear" w:color="auto" w:fill="auto"/>
            <w:vAlign w:val="center"/>
          </w:tcPr>
          <w:p w14:paraId="427C70FC">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b/>
                <w:bCs/>
                <w:color w:val="000000"/>
                <w:kern w:val="0"/>
                <w:sz w:val="18"/>
                <w:szCs w:val="18"/>
              </w:rPr>
            </w:pPr>
            <w:r>
              <w:rPr>
                <w:rFonts w:hint="eastAsia" w:ascii="宋体" w:hAnsi="宋体" w:eastAsia="宋体" w:cs="宋体"/>
                <w:b/>
                <w:bCs/>
                <w:color w:val="000000"/>
                <w:kern w:val="0"/>
                <w:sz w:val="18"/>
                <w:szCs w:val="18"/>
              </w:rPr>
              <w:t>绩效管理情况:</w:t>
            </w:r>
            <w:r>
              <w:rPr>
                <w:rFonts w:hint="eastAsia" w:ascii="宋体" w:hAnsi="宋体" w:eastAsia="宋体" w:cs="宋体"/>
                <w:color w:val="000000"/>
                <w:kern w:val="0"/>
                <w:sz w:val="18"/>
                <w:szCs w:val="18"/>
              </w:rPr>
              <w:t>考核部门（单位）在绩效管理信息的汇总和应用情况。</w:t>
            </w:r>
          </w:p>
        </w:tc>
        <w:tc>
          <w:tcPr>
            <w:tcW w:w="1995" w:type="dxa"/>
            <w:shd w:val="clear" w:color="auto" w:fill="auto"/>
            <w:vAlign w:val="center"/>
          </w:tcPr>
          <w:p w14:paraId="46466748">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①部门（单位）是否及时对绩效信息进行汇总分析整理；②部门（单位）是否对绩效目标偏离情况及时进行矫正。每有一项不合格扣2分。</w:t>
            </w:r>
          </w:p>
        </w:tc>
      </w:tr>
      <w:tr w14:paraId="198D2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288" w:hRule="atLeast"/>
          <w:jc w:val="center"/>
        </w:trPr>
        <w:tc>
          <w:tcPr>
            <w:tcW w:w="980" w:type="dxa"/>
            <w:vMerge w:val="continue"/>
            <w:vAlign w:val="center"/>
          </w:tcPr>
          <w:p w14:paraId="7AF3CDDA">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2A0326C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指标　</w:t>
            </w:r>
          </w:p>
        </w:tc>
        <w:tc>
          <w:tcPr>
            <w:tcW w:w="5860" w:type="dxa"/>
            <w:gridSpan w:val="2"/>
            <w:shd w:val="clear" w:color="auto" w:fill="auto"/>
            <w:vAlign w:val="center"/>
          </w:tcPr>
          <w:p w14:paraId="0FD3789F">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2022年</w:t>
            </w:r>
          </w:p>
        </w:tc>
        <w:tc>
          <w:tcPr>
            <w:tcW w:w="1983" w:type="dxa"/>
            <w:shd w:val="clear" w:color="auto" w:fill="auto"/>
            <w:vAlign w:val="center"/>
          </w:tcPr>
          <w:p w14:paraId="619541C4">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2023年</w:t>
            </w:r>
          </w:p>
        </w:tc>
        <w:tc>
          <w:tcPr>
            <w:tcW w:w="1300" w:type="dxa"/>
            <w:shd w:val="clear" w:color="auto" w:fill="auto"/>
            <w:vAlign w:val="center"/>
          </w:tcPr>
          <w:p w14:paraId="667B749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分值</w:t>
            </w:r>
          </w:p>
        </w:tc>
        <w:tc>
          <w:tcPr>
            <w:tcW w:w="1240" w:type="dxa"/>
            <w:shd w:val="clear" w:color="auto" w:fill="auto"/>
            <w:vAlign w:val="center"/>
          </w:tcPr>
          <w:p w14:paraId="30FE381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得分</w:t>
            </w:r>
          </w:p>
        </w:tc>
        <w:tc>
          <w:tcPr>
            <w:tcW w:w="1754" w:type="dxa"/>
            <w:shd w:val="clear" w:color="auto" w:fill="auto"/>
            <w:vAlign w:val="center"/>
          </w:tcPr>
          <w:p w14:paraId="6886AB8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指标解释</w:t>
            </w:r>
          </w:p>
        </w:tc>
        <w:tc>
          <w:tcPr>
            <w:tcW w:w="1995" w:type="dxa"/>
            <w:shd w:val="clear" w:color="auto" w:fill="auto"/>
            <w:vAlign w:val="center"/>
          </w:tcPr>
          <w:p w14:paraId="0315F7C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评分标准</w:t>
            </w:r>
          </w:p>
        </w:tc>
      </w:tr>
      <w:tr w14:paraId="6EC4B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288" w:hRule="atLeast"/>
          <w:jc w:val="center"/>
        </w:trPr>
        <w:tc>
          <w:tcPr>
            <w:tcW w:w="980" w:type="dxa"/>
            <w:vMerge w:val="continue"/>
            <w:vAlign w:val="center"/>
          </w:tcPr>
          <w:p w14:paraId="54FC9E80">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restart"/>
            <w:shd w:val="clear" w:color="auto" w:fill="auto"/>
            <w:vAlign w:val="center"/>
          </w:tcPr>
          <w:p w14:paraId="733B8BE0">
            <w:pPr>
              <w:keepNext w:val="0"/>
              <w:keepLines w:val="0"/>
              <w:pageBreakBefore w:val="0"/>
              <w:widowControl/>
              <w:kinsoku/>
              <w:wordWrap/>
              <w:overflowPunct/>
              <w:topLinePunct w:val="0"/>
              <w:autoSpaceDE/>
              <w:autoSpaceDN/>
              <w:bidi w:val="0"/>
              <w:spacing w:line="560" w:lineRule="exac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结转结余率（4）</w:t>
            </w:r>
          </w:p>
        </w:tc>
        <w:tc>
          <w:tcPr>
            <w:tcW w:w="5860" w:type="dxa"/>
            <w:gridSpan w:val="2"/>
            <w:vMerge w:val="restart"/>
            <w:shd w:val="clear" w:color="auto" w:fill="auto"/>
            <w:vAlign w:val="center"/>
          </w:tcPr>
          <w:p w14:paraId="4CAF7806">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11.13%</w:t>
            </w:r>
          </w:p>
        </w:tc>
        <w:tc>
          <w:tcPr>
            <w:tcW w:w="1983" w:type="dxa"/>
            <w:vMerge w:val="restart"/>
            <w:shd w:val="clear" w:color="auto" w:fill="auto"/>
            <w:vAlign w:val="center"/>
          </w:tcPr>
          <w:p w14:paraId="0004250F">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5.72%</w:t>
            </w:r>
          </w:p>
        </w:tc>
        <w:tc>
          <w:tcPr>
            <w:tcW w:w="1300" w:type="dxa"/>
            <w:vMerge w:val="restart"/>
            <w:shd w:val="clear" w:color="auto" w:fill="auto"/>
            <w:vAlign w:val="center"/>
          </w:tcPr>
          <w:p w14:paraId="61A38961">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240" w:type="dxa"/>
            <w:vMerge w:val="restart"/>
            <w:shd w:val="clear" w:color="auto" w:fill="auto"/>
            <w:vAlign w:val="center"/>
          </w:tcPr>
          <w:p w14:paraId="43EEAD5A">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754" w:type="dxa"/>
            <w:shd w:val="clear" w:color="auto" w:fill="auto"/>
            <w:vAlign w:val="center"/>
          </w:tcPr>
          <w:p w14:paraId="599BEA9A">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结转结余率=结转结余总额/支出预算数×100%。</w:t>
            </w:r>
          </w:p>
        </w:tc>
        <w:tc>
          <w:tcPr>
            <w:tcW w:w="1995" w:type="dxa"/>
            <w:vMerge w:val="restart"/>
            <w:shd w:val="clear" w:color="auto" w:fill="auto"/>
            <w:vAlign w:val="center"/>
          </w:tcPr>
          <w:p w14:paraId="0C503ED5">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部门结转结余率低于上年的不扣分；高于上年结余率，每高出1个百分点扣0.4分，扣完为止。（说明：预算调整和结转结余指标，如非预算部门主观因素导致扣分的，在评分结果征求意见环节，经与相关部门预算主管处室共同研究，可作为例外情况酌情考虑。）</w:t>
            </w:r>
          </w:p>
        </w:tc>
      </w:tr>
      <w:tr w14:paraId="44EF2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432" w:hRule="atLeast"/>
          <w:jc w:val="center"/>
        </w:trPr>
        <w:tc>
          <w:tcPr>
            <w:tcW w:w="980" w:type="dxa"/>
            <w:vMerge w:val="continue"/>
            <w:vAlign w:val="center"/>
          </w:tcPr>
          <w:p w14:paraId="3E15B183">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vMerge w:val="continue"/>
            <w:vAlign w:val="center"/>
          </w:tcPr>
          <w:p w14:paraId="36FE594F">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5860" w:type="dxa"/>
            <w:gridSpan w:val="2"/>
            <w:vMerge w:val="continue"/>
            <w:vAlign w:val="center"/>
          </w:tcPr>
          <w:p w14:paraId="3426072E">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983" w:type="dxa"/>
            <w:vMerge w:val="continue"/>
            <w:vAlign w:val="center"/>
          </w:tcPr>
          <w:p w14:paraId="6B7B95B7">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300" w:type="dxa"/>
            <w:vMerge w:val="continue"/>
            <w:vAlign w:val="center"/>
          </w:tcPr>
          <w:p w14:paraId="6C2B1AD0">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240" w:type="dxa"/>
            <w:vMerge w:val="continue"/>
            <w:vAlign w:val="center"/>
          </w:tcPr>
          <w:p w14:paraId="3383A4E1">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1754" w:type="dxa"/>
            <w:shd w:val="clear" w:color="auto" w:fill="auto"/>
            <w:vAlign w:val="center"/>
          </w:tcPr>
          <w:p w14:paraId="43239C4D">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结转结余总额：部门（单位）本年度的结转资金与结余资金之和。</w:t>
            </w:r>
          </w:p>
        </w:tc>
        <w:tc>
          <w:tcPr>
            <w:tcW w:w="1995" w:type="dxa"/>
            <w:vMerge w:val="continue"/>
            <w:vAlign w:val="center"/>
          </w:tcPr>
          <w:p w14:paraId="3B554240">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18"/>
                <w:szCs w:val="18"/>
              </w:rPr>
            </w:pPr>
          </w:p>
        </w:tc>
      </w:tr>
      <w:tr w14:paraId="251D1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rHeight w:val="720" w:hRule="atLeast"/>
          <w:jc w:val="center"/>
        </w:trPr>
        <w:tc>
          <w:tcPr>
            <w:tcW w:w="980" w:type="dxa"/>
            <w:vMerge w:val="continue"/>
            <w:vAlign w:val="center"/>
          </w:tcPr>
          <w:p w14:paraId="1BA18223">
            <w:pPr>
              <w:keepNext w:val="0"/>
              <w:keepLines w:val="0"/>
              <w:pageBreakBefore w:val="0"/>
              <w:widowControl/>
              <w:kinsoku/>
              <w:wordWrap/>
              <w:overflowPunct/>
              <w:topLinePunct w:val="0"/>
              <w:autoSpaceDE/>
              <w:autoSpaceDN/>
              <w:bidi w:val="0"/>
              <w:spacing w:line="560" w:lineRule="exact"/>
              <w:jc w:val="left"/>
              <w:rPr>
                <w:rFonts w:ascii="宋体" w:hAnsi="宋体" w:eastAsia="宋体" w:cs="宋体"/>
                <w:color w:val="000000"/>
                <w:kern w:val="0"/>
                <w:sz w:val="20"/>
                <w:szCs w:val="20"/>
              </w:rPr>
            </w:pPr>
          </w:p>
        </w:tc>
        <w:tc>
          <w:tcPr>
            <w:tcW w:w="980" w:type="dxa"/>
            <w:shd w:val="clear" w:color="auto" w:fill="auto"/>
            <w:vAlign w:val="center"/>
          </w:tcPr>
          <w:p w14:paraId="79F59052">
            <w:pPr>
              <w:keepNext w:val="0"/>
              <w:keepLines w:val="0"/>
              <w:pageBreakBefore w:val="0"/>
              <w:widowControl/>
              <w:kinsoku/>
              <w:wordWrap/>
              <w:overflowPunct/>
              <w:topLinePunct w:val="0"/>
              <w:autoSpaceDE/>
              <w:autoSpaceDN/>
              <w:bidi w:val="0"/>
              <w:spacing w:line="560" w:lineRule="exact"/>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部门预决算差异率（4）</w:t>
            </w:r>
          </w:p>
        </w:tc>
        <w:tc>
          <w:tcPr>
            <w:tcW w:w="5860" w:type="dxa"/>
            <w:gridSpan w:val="2"/>
            <w:shd w:val="clear" w:color="auto" w:fill="auto"/>
            <w:vAlign w:val="center"/>
          </w:tcPr>
          <w:p w14:paraId="6F8A6EFC">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w:t>
            </w:r>
          </w:p>
        </w:tc>
        <w:tc>
          <w:tcPr>
            <w:tcW w:w="1983" w:type="dxa"/>
            <w:shd w:val="clear" w:color="auto" w:fill="auto"/>
            <w:vAlign w:val="center"/>
          </w:tcPr>
          <w:p w14:paraId="5554C4E0">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11.79%</w:t>
            </w:r>
          </w:p>
        </w:tc>
        <w:tc>
          <w:tcPr>
            <w:tcW w:w="1300" w:type="dxa"/>
            <w:shd w:val="clear" w:color="auto" w:fill="auto"/>
            <w:vAlign w:val="center"/>
          </w:tcPr>
          <w:p w14:paraId="6BB3E37D">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240" w:type="dxa"/>
            <w:shd w:val="clear" w:color="auto" w:fill="auto"/>
            <w:vAlign w:val="center"/>
          </w:tcPr>
          <w:p w14:paraId="60D8A21C">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4</w:t>
            </w:r>
          </w:p>
        </w:tc>
        <w:tc>
          <w:tcPr>
            <w:tcW w:w="1754" w:type="dxa"/>
            <w:shd w:val="clear" w:color="auto" w:fill="auto"/>
            <w:vAlign w:val="center"/>
          </w:tcPr>
          <w:p w14:paraId="6A3CBE38">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通过年度部门决算与年初部门预算对比，对部门的年度支出情况进行考核，衡量部门预算的约束力。</w:t>
            </w:r>
          </w:p>
        </w:tc>
        <w:tc>
          <w:tcPr>
            <w:tcW w:w="1995" w:type="dxa"/>
            <w:shd w:val="clear" w:color="auto" w:fill="auto"/>
            <w:vAlign w:val="center"/>
          </w:tcPr>
          <w:p w14:paraId="34815CD5">
            <w:pPr>
              <w:keepNext w:val="0"/>
              <w:keepLines w:val="0"/>
              <w:pageBreakBefore w:val="0"/>
              <w:widowControl/>
              <w:kinsoku/>
              <w:wordWrap/>
              <w:overflowPunct/>
              <w:topLinePunct w:val="0"/>
              <w:autoSpaceDE/>
              <w:autoSpaceDN/>
              <w:bidi w:val="0"/>
              <w:spacing w:line="560" w:lineRule="exact"/>
              <w:jc w:val="left"/>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部门预决算差异率高于市级平均差异率（28.3%）的，每高出10%（含），扣0.4分，扣完为止。</w:t>
            </w:r>
          </w:p>
        </w:tc>
      </w:tr>
      <w:tr w14:paraId="6E0D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288" w:hRule="atLeast"/>
          <w:jc w:val="center"/>
        </w:trPr>
        <w:tc>
          <w:tcPr>
            <w:tcW w:w="9803" w:type="dxa"/>
            <w:gridSpan w:val="5"/>
            <w:shd w:val="clear" w:color="auto" w:fill="auto"/>
            <w:vAlign w:val="center"/>
          </w:tcPr>
          <w:p w14:paraId="08E37828">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合计</w:t>
            </w:r>
          </w:p>
        </w:tc>
        <w:tc>
          <w:tcPr>
            <w:tcW w:w="1300" w:type="dxa"/>
            <w:shd w:val="clear" w:color="auto" w:fill="auto"/>
            <w:vAlign w:val="center"/>
          </w:tcPr>
          <w:p w14:paraId="712F7673">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100</w:t>
            </w:r>
          </w:p>
        </w:tc>
        <w:tc>
          <w:tcPr>
            <w:tcW w:w="1240" w:type="dxa"/>
            <w:shd w:val="clear" w:color="auto" w:fill="auto"/>
            <w:vAlign w:val="center"/>
          </w:tcPr>
          <w:p w14:paraId="4758E85E">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92.5</w:t>
            </w:r>
          </w:p>
        </w:tc>
        <w:tc>
          <w:tcPr>
            <w:tcW w:w="3752" w:type="dxa"/>
            <w:gridSpan w:val="2"/>
            <w:shd w:val="clear" w:color="auto" w:fill="auto"/>
            <w:vAlign w:val="center"/>
          </w:tcPr>
          <w:p w14:paraId="19007322">
            <w:pPr>
              <w:keepNext w:val="0"/>
              <w:keepLines w:val="0"/>
              <w:pageBreakBefore w:val="0"/>
              <w:widowControl/>
              <w:kinsoku/>
              <w:wordWrap/>
              <w:overflowPunct/>
              <w:topLinePunct w:val="0"/>
              <w:autoSpaceDE/>
              <w:autoSpaceDN/>
              <w:bidi w:val="0"/>
              <w:spacing w:line="56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　</w:t>
            </w:r>
          </w:p>
        </w:tc>
      </w:tr>
    </w:tbl>
    <w:p w14:paraId="53386FE0">
      <w:pPr>
        <w:keepNext w:val="0"/>
        <w:keepLines w:val="0"/>
        <w:pageBreakBefore w:val="0"/>
        <w:kinsoku/>
        <w:wordWrap/>
        <w:overflowPunct/>
        <w:topLinePunct w:val="0"/>
        <w:autoSpaceDE/>
        <w:autoSpaceDN/>
        <w:bidi w:val="0"/>
        <w:spacing w:line="560" w:lineRule="exact"/>
        <w:rPr>
          <w:rFonts w:hint="eastAsia"/>
        </w:rPr>
      </w:pPr>
      <w:r>
        <w:rPr>
          <w:rFonts w:hint="eastAsia"/>
        </w:rPr>
        <w:br w:type="page"/>
      </w:r>
    </w:p>
    <w:p w14:paraId="4A7D15BC">
      <w:pPr>
        <w:pStyle w:val="14"/>
        <w:keepNext w:val="0"/>
        <w:keepLines w:val="0"/>
        <w:pageBreakBefore w:val="0"/>
        <w:kinsoku/>
        <w:wordWrap/>
        <w:overflowPunct/>
        <w:topLinePunct w:val="0"/>
        <w:autoSpaceDE/>
        <w:autoSpaceDN/>
        <w:bidi w:val="0"/>
        <w:spacing w:line="560" w:lineRule="exact"/>
        <w:rPr>
          <w:rFonts w:hint="eastAsia"/>
        </w:rPr>
      </w:pPr>
    </w:p>
    <w:p w14:paraId="50B27F25">
      <w:pPr>
        <w:pStyle w:val="14"/>
        <w:keepNext w:val="0"/>
        <w:keepLines w:val="0"/>
        <w:pageBreakBefore w:val="0"/>
        <w:kinsoku/>
        <w:wordWrap/>
        <w:overflowPunct/>
        <w:topLinePunct w:val="0"/>
        <w:autoSpaceDE/>
        <w:autoSpaceDN/>
        <w:bidi w:val="0"/>
        <w:spacing w:line="560" w:lineRule="exact"/>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附件2.项目支出绩效自评汇总表</w:t>
      </w:r>
    </w:p>
    <w:p w14:paraId="3A9216E1">
      <w:pPr>
        <w:pStyle w:val="14"/>
        <w:keepNext w:val="0"/>
        <w:keepLines w:val="0"/>
        <w:pageBreakBefore w:val="0"/>
        <w:kinsoku/>
        <w:wordWrap/>
        <w:overflowPunct/>
        <w:topLinePunct w:val="0"/>
        <w:autoSpaceDE/>
        <w:autoSpaceDN/>
        <w:bidi w:val="0"/>
        <w:spacing w:line="560" w:lineRule="exact"/>
        <w:jc w:val="center"/>
        <w:rPr>
          <w:rFonts w:hint="eastAsia" w:ascii="仿宋_GB2312" w:hAnsi="仿宋_GB2312" w:eastAsia="仿宋_GB2312" w:cs="仿宋_GB2312"/>
          <w:sz w:val="32"/>
          <w:szCs w:val="32"/>
          <w:lang w:val="en-US" w:eastAsia="zh-CN"/>
        </w:rPr>
      </w:pPr>
      <w:r>
        <w:rPr>
          <w:rFonts w:hint="eastAsia" w:ascii="宋体" w:hAnsi="宋体" w:eastAsia="宋体" w:cs="宋体"/>
          <w:i w:val="0"/>
          <w:iCs w:val="0"/>
          <w:color w:val="000000"/>
          <w:kern w:val="0"/>
          <w:sz w:val="28"/>
          <w:szCs w:val="28"/>
          <w:u w:val="none"/>
          <w:lang w:val="en-US" w:eastAsia="zh-CN" w:bidi="ar"/>
        </w:rPr>
        <w:t>2023年度项目支出绩效自评汇总表</w:t>
      </w:r>
    </w:p>
    <w:p w14:paraId="4E49CE69">
      <w:pPr>
        <w:pStyle w:val="14"/>
        <w:keepNext w:val="0"/>
        <w:keepLines w:val="0"/>
        <w:pageBreakBefore w:val="0"/>
        <w:kinsoku/>
        <w:wordWrap/>
        <w:overflowPunct/>
        <w:topLinePunct w:val="0"/>
        <w:autoSpaceDE/>
        <w:autoSpaceDN/>
        <w:bidi w:val="0"/>
        <w:spacing w:line="560" w:lineRule="exact"/>
        <w:rPr>
          <w:rFonts w:hint="eastAsia"/>
          <w:lang w:val="en-US" w:eastAsia="zh-CN"/>
        </w:rPr>
      </w:pPr>
    </w:p>
    <w:tbl>
      <w:tblPr>
        <w:tblStyle w:val="10"/>
        <w:tblW w:w="1384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04"/>
        <w:gridCol w:w="4741"/>
        <w:gridCol w:w="2121"/>
        <w:gridCol w:w="1649"/>
        <w:gridCol w:w="1585"/>
        <w:gridCol w:w="1391"/>
        <w:gridCol w:w="1649"/>
      </w:tblGrid>
      <w:tr w14:paraId="0F9EF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blHead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93A8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59B8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2FC1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预算资金（万元）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658B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绩效自评得分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7FCA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评价等级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1C78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17C9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备注</w:t>
            </w:r>
          </w:p>
        </w:tc>
      </w:tr>
      <w:tr w14:paraId="049B2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29FA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64EC6">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课题研究类项目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3BEA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538,998.00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3841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B9E6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7064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1679F">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38A35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A9A2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DCC12">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因公出国（境）类项目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4FCD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3,437,348.05</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462A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91.82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C09F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A841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6DD81">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6200B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B0ED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70186">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北京香港经济合作研讨洽谈会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2D94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E0FA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99.90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40FD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8B93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5FE8A">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6FC6B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7965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FA0AB">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绩效/评审/采购等管理经费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7441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450,000.00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9B7B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3124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08A3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F6AD5">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177EF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3F16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6A2FC">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法律顾问费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4360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72,000.00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6AFA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B418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E99F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F1883">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4E880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842D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F25F9">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与在京国际商会联络服务对话系列活动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A2E5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270,700.00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53A0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default" w:ascii="宋体" w:hAnsi="宋体" w:eastAsia="宋体" w:cs="宋体"/>
                <w:i w:val="0"/>
                <w:iCs w:val="0"/>
                <w:color w:val="000000"/>
                <w:sz w:val="18"/>
                <w:szCs w:val="18"/>
                <w:u w:val="none"/>
                <w:lang w:val="en-US"/>
              </w:rPr>
            </w:pPr>
            <w:r>
              <w:rPr>
                <w:rFonts w:hint="eastAsia" w:ascii="宋体" w:hAnsi="宋体" w:eastAsia="宋体" w:cs="宋体"/>
                <w:i w:val="0"/>
                <w:iCs w:val="0"/>
                <w:color w:val="000000"/>
                <w:kern w:val="0"/>
                <w:sz w:val="18"/>
                <w:szCs w:val="18"/>
                <w:u w:val="none"/>
                <w:lang w:val="en-US" w:eastAsia="zh-CN" w:bidi="ar"/>
              </w:rPr>
              <w:t>91.14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A014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0292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5A23E">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73171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11E2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038BF">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舆情监测及舆情信息分析提供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9C0A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253,325.00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5D21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A420B">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F830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BF9FA">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30A5D0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30FB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DF41F">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机动经费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5907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1,465,135.51</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E04A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94.03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0814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05AD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E6C4A">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31E82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CCC7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B6615">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境内投资推介系列活动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7013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1,373,919.00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581D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default" w:ascii="宋体" w:hAnsi="宋体" w:eastAsia="宋体" w:cs="宋体"/>
                <w:i w:val="0"/>
                <w:iCs w:val="0"/>
                <w:color w:val="000000"/>
                <w:sz w:val="18"/>
                <w:szCs w:val="18"/>
                <w:u w:val="none"/>
                <w:lang w:val="en-US"/>
              </w:rPr>
            </w:pPr>
            <w:r>
              <w:rPr>
                <w:rFonts w:hint="eastAsia" w:ascii="宋体" w:hAnsi="宋体" w:eastAsia="宋体" w:cs="宋体"/>
                <w:i w:val="0"/>
                <w:iCs w:val="0"/>
                <w:color w:val="000000"/>
                <w:kern w:val="0"/>
                <w:sz w:val="18"/>
                <w:szCs w:val="18"/>
                <w:u w:val="none"/>
                <w:lang w:val="en-US" w:eastAsia="zh-CN" w:bidi="ar"/>
              </w:rPr>
              <w:t>98.07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534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A3E1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C3822">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3A384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037E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5CD91">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“两区”政策海外云推介活动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5508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1,195,000.00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9B28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4FC0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AC70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39565">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5E56D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01C7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0AF5F">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投资北京洽谈会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8F51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745,160.13</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644C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14FD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1B0F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F86D8">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0BB1D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C7F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816A6">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中国国际投资贸易洽谈会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5CBB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541,820.00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5F48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99.92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C908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B27D2">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7D2AA">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75646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368C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CA4D5">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北京市对外招商推介宣传片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C3C5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1,463,200.00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FB52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auto"/>
                <w:kern w:val="0"/>
                <w:sz w:val="18"/>
                <w:szCs w:val="18"/>
                <w:u w:val="none"/>
                <w:lang w:val="en-US" w:eastAsia="zh-CN" w:bidi="ar"/>
              </w:rPr>
              <w:t xml:space="preserve">88.50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35F0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664F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C6D5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重点评价项目</w:t>
            </w:r>
          </w:p>
        </w:tc>
      </w:tr>
      <w:tr w14:paraId="3B363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3D7C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D60FB">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北京投资服务网资料征集与编译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5729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331,000.00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3EAFB">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default" w:ascii="宋体" w:hAnsi="宋体" w:eastAsia="宋体" w:cs="宋体"/>
                <w:i w:val="0"/>
                <w:iCs w:val="0"/>
                <w:color w:val="000000"/>
                <w:sz w:val="18"/>
                <w:szCs w:val="18"/>
                <w:u w:val="none"/>
                <w:lang w:val="en-US"/>
              </w:rPr>
            </w:pPr>
            <w:r>
              <w:rPr>
                <w:rFonts w:hint="eastAsia" w:ascii="宋体" w:hAnsi="宋体" w:eastAsia="宋体" w:cs="宋体"/>
                <w:i w:val="0"/>
                <w:iCs w:val="0"/>
                <w:color w:val="000000"/>
                <w:kern w:val="0"/>
                <w:sz w:val="18"/>
                <w:szCs w:val="18"/>
                <w:u w:val="none"/>
                <w:lang w:val="en-US" w:eastAsia="zh-CN" w:bidi="ar"/>
              </w:rPr>
              <w:t>97.48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0583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D8B5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398D4">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18030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AC60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0FC8B">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北京12345企业热线大数据分析服务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EB24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314,820.00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5E7F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52140">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0149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8FEB3">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59772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780B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88030">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新媒体宣传推广项目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186E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393,600.00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D5C8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D683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0FA8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13B49">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FF0000"/>
                <w:sz w:val="22"/>
                <w:szCs w:val="22"/>
                <w:u w:val="none"/>
              </w:rPr>
            </w:pPr>
          </w:p>
        </w:tc>
      </w:tr>
      <w:tr w14:paraId="6CB1E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208E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681A9">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“一带一路”双向投资推介及政策解读系列活动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3CAFB">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496,000.00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AEAA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CFF0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7536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68F25">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030FC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DEAE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D9BD5">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运行保障项目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7155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1,635,754.16</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F595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97.80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0CF1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EB79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D6DC7">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24783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1DDC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3E1EC">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全市招商引资大数据综合服务平台项目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BEFC7">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92,400.00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3867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3A1D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5AEB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551B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年初结转</w:t>
            </w:r>
          </w:p>
        </w:tc>
      </w:tr>
      <w:tr w14:paraId="548A0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DB85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CFB25">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赴港活动经费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C76E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83D4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57EB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539B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3C75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年初结转</w:t>
            </w:r>
          </w:p>
        </w:tc>
      </w:tr>
      <w:tr w14:paraId="655CB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2391A">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AF8BF">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搬家及运行保障经费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D356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1,456,109.01</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E7A7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4588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328F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A4E6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追加</w:t>
            </w:r>
          </w:p>
        </w:tc>
      </w:tr>
      <w:tr w14:paraId="1708B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2D2D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825C2">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北京市数字招商服务信息化项目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D958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7,085,200.00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538F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99.91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C926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32DF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E4FDE">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追加</w:t>
            </w:r>
          </w:p>
        </w:tc>
      </w:tr>
      <w:tr w14:paraId="36D2D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644D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3FF7C">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北京市投资促进项目管理系统运行维护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1713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213,120.00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61EA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97.91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66B86">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0450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本级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211B1">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52FB4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D7DB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28E49">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运行保障项目（综合事务中心）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9F77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142,671.00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A508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B26E3">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3309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综合事务中心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E9045">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3C090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B96CD">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DE9EC">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信息化运维服务（综合事务中心）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4C73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905,604.00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8F2E1">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68235">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15CE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综合事务中心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7D10A">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r w14:paraId="7047EC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42258">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88917">
            <w:pPr>
              <w:keepNext w:val="0"/>
              <w:keepLines w:val="0"/>
              <w:pageBreakBefore w:val="0"/>
              <w:widowControl/>
              <w:suppressLineNumbers w:val="0"/>
              <w:kinsoku/>
              <w:wordWrap/>
              <w:overflowPunct/>
              <w:topLinePunct w:val="0"/>
              <w:autoSpaceDE/>
              <w:autoSpaceDN/>
              <w:bidi w:val="0"/>
              <w:spacing w:line="560" w:lineRule="exact"/>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机构运转经费（综合事务中心）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24B8B">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210,789.50</w:t>
            </w:r>
          </w:p>
        </w:tc>
        <w:tc>
          <w:tcPr>
            <w:tcW w:w="1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E8D0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94.72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923C">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DAD09">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综合事务中心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AB69F">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追加</w:t>
            </w:r>
          </w:p>
        </w:tc>
      </w:tr>
      <w:tr w14:paraId="24F1D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1FF5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合 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627AB">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28,893,673.36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6BE94">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A8304">
            <w:pPr>
              <w:keepNext w:val="0"/>
              <w:keepLines w:val="0"/>
              <w:pageBreakBefore w:val="0"/>
              <w:widowControl/>
              <w:suppressLineNumbers w:val="0"/>
              <w:kinsoku/>
              <w:wordWrap/>
              <w:overflowPunct/>
              <w:topLinePunct w:val="0"/>
              <w:autoSpaceDE/>
              <w:autoSpaceDN/>
              <w:bidi w:val="0"/>
              <w:spacing w:line="560" w:lineRule="exact"/>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25个优，1个良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09964">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6B942">
            <w:pPr>
              <w:keepNext w:val="0"/>
              <w:keepLines w:val="0"/>
              <w:pageBreakBefore w:val="0"/>
              <w:kinsoku/>
              <w:wordWrap/>
              <w:overflowPunct/>
              <w:topLinePunct w:val="0"/>
              <w:autoSpaceDE/>
              <w:autoSpaceDN/>
              <w:bidi w:val="0"/>
              <w:spacing w:line="560" w:lineRule="exact"/>
              <w:jc w:val="center"/>
              <w:rPr>
                <w:rFonts w:hint="eastAsia" w:ascii="宋体" w:hAnsi="宋体" w:eastAsia="宋体" w:cs="宋体"/>
                <w:i w:val="0"/>
                <w:iCs w:val="0"/>
                <w:color w:val="000000"/>
                <w:sz w:val="22"/>
                <w:szCs w:val="22"/>
                <w:u w:val="none"/>
              </w:rPr>
            </w:pPr>
          </w:p>
        </w:tc>
      </w:tr>
    </w:tbl>
    <w:p w14:paraId="343CA378">
      <w:pPr>
        <w:pStyle w:val="14"/>
        <w:keepNext w:val="0"/>
        <w:keepLines w:val="0"/>
        <w:pageBreakBefore w:val="0"/>
        <w:kinsoku/>
        <w:wordWrap/>
        <w:overflowPunct/>
        <w:topLinePunct w:val="0"/>
        <w:autoSpaceDE/>
        <w:autoSpaceDN/>
        <w:bidi w:val="0"/>
        <w:spacing w:line="560" w:lineRule="exact"/>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p w14:paraId="44744A30">
      <w:pPr>
        <w:pStyle w:val="2"/>
        <w:keepNext w:val="0"/>
        <w:keepLines w:val="0"/>
        <w:pageBreakBefore w:val="0"/>
        <w:kinsoku/>
        <w:wordWrap/>
        <w:overflowPunct/>
        <w:topLinePunct w:val="0"/>
        <w:autoSpaceDE/>
        <w:autoSpaceDN/>
        <w:bidi w:val="0"/>
        <w:spacing w:line="560" w:lineRule="exact"/>
        <w:rPr>
          <w:rFonts w:hint="default" w:ascii="仿宋_GB2312" w:hAnsi="仿宋_GB2312" w:eastAsia="仿宋_GB2312" w:cs="仿宋_GB2312"/>
          <w:sz w:val="32"/>
          <w:szCs w:val="32"/>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00007A87" w:usb1="80000000" w:usb2="00000008" w:usb3="00000000" w:csb0="400001FF" w:csb1="FFFF0000"/>
    <w:embedRegular r:id="rId1" w:fontKey="{4E37306D-C0DF-44A5-95D4-EF823E9469E7}"/>
  </w:font>
  <w:font w:name="宋体">
    <w:panose1 w:val="02010600030101010101"/>
    <w:charset w:val="7A"/>
    <w:family w:val="auto"/>
    <w:pitch w:val="default"/>
    <w:sig w:usb0="00000003" w:usb1="288F0000" w:usb2="00000006" w:usb3="00000000" w:csb0="00040001" w:csb1="00000000"/>
    <w:embedRegular r:id="rId2" w:fontKey="{8D38466C-177B-4554-BBEE-34E184C3B8D0}"/>
  </w:font>
  <w:font w:name="Wingdings">
    <w:panose1 w:val="05000000000000000000"/>
    <w:charset w:val="02"/>
    <w:family w:val="auto"/>
    <w:pitch w:val="default"/>
    <w:sig w:usb0="00000000" w:usb1="00000000" w:usb2="00000000" w:usb3="00000000" w:csb0="80000000" w:csb1="00000000"/>
    <w:embedRegular r:id="rId3" w:fontKey="{70E89286-5840-47B1-B6C8-3FB161619A1E}"/>
  </w:font>
  <w:font w:name="Arial">
    <w:panose1 w:val="020B0604020202020204"/>
    <w:charset w:val="01"/>
    <w:family w:val="swiss"/>
    <w:pitch w:val="default"/>
    <w:sig w:usb0="00007A87" w:usb1="80000000" w:usb2="00000008" w:usb3="00000000" w:csb0="400001FF" w:csb1="FFFF0000"/>
    <w:embedRegular r:id="rId4" w:fontKey="{71284A54-8CEE-4862-8870-669D6D322A49}"/>
  </w:font>
  <w:font w:name="黑体">
    <w:panose1 w:val="02010600030101010101"/>
    <w:charset w:val="86"/>
    <w:family w:val="auto"/>
    <w:pitch w:val="default"/>
    <w:sig w:usb0="800002BF" w:usb1="38CF7CFA" w:usb2="00000016" w:usb3="00000000" w:csb0="00040001" w:csb1="00000000"/>
    <w:embedRegular r:id="rId5" w:fontKey="{44AF7B3B-F20C-485D-B085-72723F58DEAA}"/>
  </w:font>
  <w:font w:name="Courier New">
    <w:panose1 w:val="02070309020205020404"/>
    <w:charset w:val="01"/>
    <w:family w:val="modern"/>
    <w:pitch w:val="default"/>
    <w:sig w:usb0="00007A87" w:usb1="80000000" w:usb2="00000008" w:usb3="00000000" w:csb0="400001FF" w:csb1="FFFF0000"/>
    <w:embedRegular r:id="rId6" w:fontKey="{655715C1-CFA3-4AD8-BE19-F02BEE852DB7}"/>
  </w:font>
  <w:font w:name="Symbol">
    <w:panose1 w:val="05050102010706020507"/>
    <w:charset w:val="02"/>
    <w:family w:val="roman"/>
    <w:pitch w:val="default"/>
    <w:sig w:usb0="00000000" w:usb1="00000000" w:usb2="00000000" w:usb3="00000000" w:csb0="80000000" w:csb1="00000000"/>
    <w:embedRegular r:id="rId7" w:fontKey="{077344BF-8590-4CE7-AC4B-7398D6EEC65C}"/>
  </w:font>
  <w:font w:name="Calibri">
    <w:panose1 w:val="020F0502020204030204"/>
    <w:charset w:val="00"/>
    <w:family w:val="swiss"/>
    <w:pitch w:val="default"/>
    <w:sig w:usb0="A00002EF" w:usb1="4000207B" w:usb2="00000000" w:usb3="00000000" w:csb0="2000009F" w:csb1="00000000"/>
    <w:embedRegular r:id="rId8" w:fontKey="{3D5C6CB0-B105-4DF6-924C-7A663B22B799}"/>
  </w:font>
  <w:font w:name="仿宋_GB2312">
    <w:panose1 w:val="02010609030101010101"/>
    <w:charset w:val="86"/>
    <w:family w:val="modern"/>
    <w:pitch w:val="default"/>
    <w:sig w:usb0="00000001" w:usb1="080E0000" w:usb2="00000000" w:usb3="00000000" w:csb0="00040000" w:csb1="00000000"/>
    <w:embedRegular r:id="rId9" w:fontKey="{A064A448-D2A7-41F3-85DA-98E23052AEA5}"/>
  </w:font>
  <w:font w:name="仿宋">
    <w:panose1 w:val="02010609060101010101"/>
    <w:charset w:val="86"/>
    <w:family w:val="modern"/>
    <w:pitch w:val="default"/>
    <w:sig w:usb0="800002BF" w:usb1="38CF7CFA" w:usb2="00000016" w:usb3="00000000" w:csb0="00040001" w:csb1="00000000"/>
    <w:embedRegular r:id="rId10" w:fontKey="{50B40B20-54BD-402A-87C6-0057F504A86A}"/>
  </w:font>
  <w:font w:name="微软雅黑">
    <w:panose1 w:val="020B0503020204020204"/>
    <w:charset w:val="86"/>
    <w:family w:val="auto"/>
    <w:pitch w:val="default"/>
    <w:sig w:usb0="80000287" w:usb1="280F3C52" w:usb2="00000016" w:usb3="00000000" w:csb0="0004001F" w:csb1="00000000"/>
    <w:embedRegular r:id="rId11" w:fontKey="{0716005A-20F0-42E0-B129-D8AF952C1690}"/>
  </w:font>
  <w:font w:name="方正小标宋简体">
    <w:panose1 w:val="03000509000000000000"/>
    <w:charset w:val="86"/>
    <w:family w:val="auto"/>
    <w:pitch w:val="default"/>
    <w:sig w:usb0="00000001" w:usb1="080E0000" w:usb2="00000000" w:usb3="00000000" w:csb0="00040000" w:csb1="00000000"/>
    <w:embedRegular r:id="rId12" w:fontKey="{1D431C92-BD53-4AF3-96C1-5348EA45FE4E}"/>
  </w:font>
  <w:font w:name="楷体_GB2312">
    <w:panose1 w:val="02010609030101010101"/>
    <w:charset w:val="86"/>
    <w:family w:val="auto"/>
    <w:pitch w:val="default"/>
    <w:sig w:usb0="00000001" w:usb1="080E0000" w:usb2="00000000" w:usb3="00000000" w:csb0="00040000" w:csb1="00000000"/>
    <w:embedRegular r:id="rId13" w:fontKey="{FC1BE874-0B2C-4FD0-9932-9F4F90C17C06}"/>
  </w:font>
  <w:font w:name="Arial Narrow">
    <w:panose1 w:val="020B0606020202030204"/>
    <w:charset w:val="00"/>
    <w:family w:val="swiss"/>
    <w:pitch w:val="default"/>
    <w:sig w:usb0="00000287" w:usb1="00000800" w:usb2="00000000" w:usb3="00000000" w:csb0="2000009F" w:csb1="DFD70000"/>
    <w:embedRegular r:id="rId14" w:fontKey="{BBE27B8B-B567-43FB-AED7-91C2D87FE06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2AE34">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BA6C24">
                          <w:pPr>
                            <w:pStyle w:val="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8BA6C24">
                    <w:pPr>
                      <w:pStyle w:val="5"/>
                    </w:pPr>
                    <w:r>
                      <w:fldChar w:fldCharType="begin"/>
                    </w:r>
                    <w:r>
                      <w:instrText xml:space="preserve"> PAGE  \* MERGEFORMAT </w:instrText>
                    </w:r>
                    <w:r>
                      <w:fldChar w:fldCharType="separate"/>
                    </w:r>
                    <w:r>
                      <w:t>2</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TrueTypeFonts/>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IyOGQ1YmI3MDRiMmUwNzQ4ZWEwY2FlODdhMGRiZjcifQ=="/>
  </w:docVars>
  <w:rsids>
    <w:rsidRoot w:val="27130B80"/>
    <w:rsid w:val="00155C00"/>
    <w:rsid w:val="00183D6D"/>
    <w:rsid w:val="00267B1B"/>
    <w:rsid w:val="002C6789"/>
    <w:rsid w:val="00332BE9"/>
    <w:rsid w:val="003827C4"/>
    <w:rsid w:val="00385519"/>
    <w:rsid w:val="004B7B84"/>
    <w:rsid w:val="00551CC4"/>
    <w:rsid w:val="00594DDE"/>
    <w:rsid w:val="006835BA"/>
    <w:rsid w:val="00732A6C"/>
    <w:rsid w:val="007C0FD4"/>
    <w:rsid w:val="00811C6E"/>
    <w:rsid w:val="0091216F"/>
    <w:rsid w:val="009176E2"/>
    <w:rsid w:val="00962F3B"/>
    <w:rsid w:val="009E629A"/>
    <w:rsid w:val="00A03A97"/>
    <w:rsid w:val="00AF4682"/>
    <w:rsid w:val="00BD1356"/>
    <w:rsid w:val="00BF000F"/>
    <w:rsid w:val="00C0695D"/>
    <w:rsid w:val="00C07332"/>
    <w:rsid w:val="00CD07BE"/>
    <w:rsid w:val="00D72FAD"/>
    <w:rsid w:val="00D752E4"/>
    <w:rsid w:val="00DC7079"/>
    <w:rsid w:val="00DE7F77"/>
    <w:rsid w:val="00DF23DC"/>
    <w:rsid w:val="00E048C8"/>
    <w:rsid w:val="00E0720C"/>
    <w:rsid w:val="00EA69C3"/>
    <w:rsid w:val="00ED5232"/>
    <w:rsid w:val="00EE3BD1"/>
    <w:rsid w:val="00FA6843"/>
    <w:rsid w:val="00FB7647"/>
    <w:rsid w:val="00FC7EDF"/>
    <w:rsid w:val="02ED1C6E"/>
    <w:rsid w:val="04E92909"/>
    <w:rsid w:val="05667A7E"/>
    <w:rsid w:val="066606B5"/>
    <w:rsid w:val="0B2E586A"/>
    <w:rsid w:val="0CBF1FFC"/>
    <w:rsid w:val="0CCB1853"/>
    <w:rsid w:val="141A6096"/>
    <w:rsid w:val="16BC6CAA"/>
    <w:rsid w:val="18826EA4"/>
    <w:rsid w:val="188F1C52"/>
    <w:rsid w:val="18D56FD4"/>
    <w:rsid w:val="193C096E"/>
    <w:rsid w:val="1BF259E0"/>
    <w:rsid w:val="1EC21DA9"/>
    <w:rsid w:val="200A0E90"/>
    <w:rsid w:val="211B2593"/>
    <w:rsid w:val="23FE3883"/>
    <w:rsid w:val="23FF76EF"/>
    <w:rsid w:val="24175B4B"/>
    <w:rsid w:val="27130B80"/>
    <w:rsid w:val="27477F10"/>
    <w:rsid w:val="2A250903"/>
    <w:rsid w:val="2A790DDA"/>
    <w:rsid w:val="2E0777D8"/>
    <w:rsid w:val="2E6C18DA"/>
    <w:rsid w:val="2EAF4B00"/>
    <w:rsid w:val="33E76131"/>
    <w:rsid w:val="35AA29A0"/>
    <w:rsid w:val="35BC4163"/>
    <w:rsid w:val="36C25570"/>
    <w:rsid w:val="37F25163"/>
    <w:rsid w:val="388C098B"/>
    <w:rsid w:val="38E075A3"/>
    <w:rsid w:val="397719AA"/>
    <w:rsid w:val="3D9666E2"/>
    <w:rsid w:val="412F0205"/>
    <w:rsid w:val="41503C34"/>
    <w:rsid w:val="425C413F"/>
    <w:rsid w:val="4D44414D"/>
    <w:rsid w:val="4DF80A94"/>
    <w:rsid w:val="4E5B2727"/>
    <w:rsid w:val="4F637BB8"/>
    <w:rsid w:val="4FEB1474"/>
    <w:rsid w:val="502D624A"/>
    <w:rsid w:val="518C60C3"/>
    <w:rsid w:val="54B7310D"/>
    <w:rsid w:val="58557C07"/>
    <w:rsid w:val="58586109"/>
    <w:rsid w:val="5A783688"/>
    <w:rsid w:val="5CFA3515"/>
    <w:rsid w:val="5F2D1C7B"/>
    <w:rsid w:val="60136A83"/>
    <w:rsid w:val="608A17F0"/>
    <w:rsid w:val="63E679FF"/>
    <w:rsid w:val="63F72ECF"/>
    <w:rsid w:val="640D7F75"/>
    <w:rsid w:val="642E6B65"/>
    <w:rsid w:val="675F157C"/>
    <w:rsid w:val="68303BE3"/>
    <w:rsid w:val="69FD5C72"/>
    <w:rsid w:val="6C092392"/>
    <w:rsid w:val="71611272"/>
    <w:rsid w:val="727C0EC6"/>
    <w:rsid w:val="72CD4D4B"/>
    <w:rsid w:val="76330ED5"/>
    <w:rsid w:val="78414C61"/>
    <w:rsid w:val="79206F6D"/>
    <w:rsid w:val="79AE27CB"/>
    <w:rsid w:val="7D315817"/>
    <w:rsid w:val="7D4A45B8"/>
    <w:rsid w:val="7D7E1AA1"/>
    <w:rsid w:val="7DDE0263"/>
    <w:rsid w:val="7F1F26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11">
    <w:name w:val="Default Paragraph Font"/>
    <w:autoRedefine/>
    <w:semiHidden/>
    <w:unhideWhenUsed/>
    <w:qFormat/>
    <w:uiPriority w:val="1"/>
  </w:style>
  <w:style w:type="table" w:default="1" w:styleId="10">
    <w:name w:val="Normal Table"/>
    <w:autoRedefine/>
    <w:semiHidden/>
    <w:unhideWhenUsed/>
    <w:qFormat/>
    <w:uiPriority w:val="99"/>
    <w:tblPr>
      <w:tblCellMar>
        <w:top w:w="0" w:type="dxa"/>
        <w:left w:w="108" w:type="dxa"/>
        <w:bottom w:w="0" w:type="dxa"/>
        <w:right w:w="108" w:type="dxa"/>
      </w:tblCellMar>
    </w:tblPr>
  </w:style>
  <w:style w:type="paragraph" w:styleId="2">
    <w:name w:val="Normal Indent"/>
    <w:basedOn w:val="1"/>
    <w:autoRedefine/>
    <w:qFormat/>
    <w:uiPriority w:val="0"/>
  </w:style>
  <w:style w:type="paragraph" w:styleId="3">
    <w:name w:val="Body Text"/>
    <w:basedOn w:val="1"/>
    <w:next w:val="1"/>
    <w:autoRedefine/>
    <w:qFormat/>
    <w:uiPriority w:val="0"/>
    <w:pPr>
      <w:ind w:firstLine="0" w:firstLineChars="0"/>
      <w:jc w:val="both"/>
    </w:pPr>
    <w:rPr>
      <w:rFonts w:ascii="仿宋_GB2312" w:hAnsi="仿宋_GB2312" w:eastAsia="仿宋"/>
      <w:bCs/>
      <w:sz w:val="32"/>
      <w:szCs w:val="20"/>
    </w:rPr>
  </w:style>
  <w:style w:type="paragraph" w:styleId="4">
    <w:name w:val="Block Text"/>
    <w:basedOn w:val="1"/>
    <w:autoRedefine/>
    <w:qFormat/>
    <w:uiPriority w:val="0"/>
    <w:pPr>
      <w:ind w:firstLine="200" w:firstLineChars="200"/>
    </w:pPr>
    <w:rPr>
      <w:rFonts w:ascii="Calibri" w:hAnsi="Calibri" w:eastAsia="仿宋_GB2312"/>
      <w:sz w:val="32"/>
      <w:szCs w:val="22"/>
    </w:rPr>
  </w:style>
  <w:style w:type="paragraph" w:styleId="5">
    <w:name w:val="footer"/>
    <w:basedOn w:val="1"/>
    <w:link w:val="16"/>
    <w:autoRedefine/>
    <w:qFormat/>
    <w:uiPriority w:val="0"/>
    <w:pPr>
      <w:tabs>
        <w:tab w:val="center" w:pos="4153"/>
        <w:tab w:val="right" w:pos="8306"/>
      </w:tabs>
      <w:snapToGrid w:val="0"/>
      <w:jc w:val="left"/>
    </w:pPr>
    <w:rPr>
      <w:sz w:val="18"/>
      <w:szCs w:val="18"/>
    </w:rPr>
  </w:style>
  <w:style w:type="paragraph" w:styleId="6">
    <w:name w:val="header"/>
    <w:basedOn w:val="1"/>
    <w:link w:val="15"/>
    <w:autoRedefine/>
    <w:qFormat/>
    <w:uiPriority w:val="0"/>
    <w:pPr>
      <w:tabs>
        <w:tab w:val="center" w:pos="4153"/>
        <w:tab w:val="right" w:pos="8306"/>
      </w:tabs>
      <w:snapToGrid w:val="0"/>
      <w:jc w:val="center"/>
    </w:pPr>
    <w:rPr>
      <w:sz w:val="18"/>
      <w:szCs w:val="18"/>
    </w:rPr>
  </w:style>
  <w:style w:type="paragraph" w:styleId="7">
    <w:name w:val="toc 1"/>
    <w:basedOn w:val="1"/>
    <w:next w:val="1"/>
    <w:autoRedefine/>
    <w:unhideWhenUsed/>
    <w:qFormat/>
    <w:uiPriority w:val="39"/>
  </w:style>
  <w:style w:type="paragraph" w:styleId="8">
    <w:name w:val="toc 2"/>
    <w:basedOn w:val="1"/>
    <w:next w:val="1"/>
    <w:autoRedefine/>
    <w:unhideWhenUsed/>
    <w:qFormat/>
    <w:uiPriority w:val="39"/>
    <w:pPr>
      <w:ind w:left="420" w:leftChars="200"/>
    </w:pPr>
  </w:style>
  <w:style w:type="paragraph" w:styleId="9">
    <w:name w:val="Normal (Web)"/>
    <w:basedOn w:val="1"/>
    <w:autoRedefine/>
    <w:qFormat/>
    <w:uiPriority w:val="0"/>
    <w:pPr>
      <w:spacing w:before="0" w:beforeAutospacing="1" w:after="0" w:afterAutospacing="1"/>
      <w:ind w:left="0" w:right="0"/>
      <w:jc w:val="left"/>
    </w:pPr>
    <w:rPr>
      <w:kern w:val="0"/>
      <w:sz w:val="24"/>
      <w:lang w:val="en-US" w:eastAsia="zh-CN" w:bidi="ar"/>
    </w:rPr>
  </w:style>
  <w:style w:type="character" w:styleId="12">
    <w:name w:val="Strong"/>
    <w:basedOn w:val="11"/>
    <w:autoRedefine/>
    <w:qFormat/>
    <w:uiPriority w:val="0"/>
    <w:rPr>
      <w:b/>
    </w:rPr>
  </w:style>
  <w:style w:type="character" w:styleId="13">
    <w:name w:val="Hyperlink"/>
    <w:basedOn w:val="11"/>
    <w:autoRedefine/>
    <w:unhideWhenUsed/>
    <w:qFormat/>
    <w:uiPriority w:val="99"/>
    <w:rPr>
      <w:color w:val="0026E5" w:themeColor="hyperlink"/>
      <w:u w:val="single"/>
      <w14:textFill>
        <w14:solidFill>
          <w14:schemeClr w14:val="hlink"/>
        </w14:solidFill>
      </w14:textFill>
    </w:rPr>
  </w:style>
  <w:style w:type="paragraph" w:customStyle="1" w:styleId="14">
    <w:name w:val="本文正文"/>
    <w:basedOn w:val="1"/>
    <w:autoRedefine/>
    <w:qFormat/>
    <w:uiPriority w:val="0"/>
  </w:style>
  <w:style w:type="character" w:customStyle="1" w:styleId="15">
    <w:name w:val="页眉 字符"/>
    <w:basedOn w:val="11"/>
    <w:link w:val="6"/>
    <w:autoRedefine/>
    <w:qFormat/>
    <w:uiPriority w:val="0"/>
    <w:rPr>
      <w:kern w:val="2"/>
      <w:sz w:val="18"/>
      <w:szCs w:val="18"/>
    </w:rPr>
  </w:style>
  <w:style w:type="character" w:customStyle="1" w:styleId="16">
    <w:name w:val="页脚 字符"/>
    <w:basedOn w:val="11"/>
    <w:link w:val="5"/>
    <w:autoRedefine/>
    <w:qFormat/>
    <w:uiPriority w:val="0"/>
    <w:rPr>
      <w:kern w:val="2"/>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5909</Words>
  <Characters>7014</Characters>
  <Lines>81</Lines>
  <Paragraphs>22</Paragraphs>
  <TotalTime>1</TotalTime>
  <ScaleCrop>false</ScaleCrop>
  <LinksUpToDate>false</LinksUpToDate>
  <CharactersWithSpaces>7047</CharactersWithSpaces>
  <Application>WPS Office_12.1.0.23539_F1E327BC-269C-435d-A152-05C5408002CA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2024-05-15T09:51:00Z</dcterms:created>
  <dc:creator>WH</dc:creator>
  <cp:lastModifiedBy>WPS_1763692830</cp:lastModifiedBy>
  <cp:lastPrinted>2024-05-22T07:54:00Z</cp:lastPrinted>
  <dcterms:modified xsi:type="dcterms:W3CDTF">2026-03-24T07:50:07Z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2052-12.1.0.23539</vt:lpwstr>
  </property>
  <property fmtid="{D5CDD505-2E9C-101B-9397-08002B2CF9AE}" pid="3" name="ICV">
    <vt:lpwstr>512BB6A8E8374F07819CAC57445CE015_13</vt:lpwstr>
  </property>
  <property fmtid="{D5CDD505-2E9C-101B-9397-08002B2CF9AE}" pid="4" name="KSOTemplateDocerSaveRecord">
    <vt:lpwstr>eyJoZGlkIjoiOTIyOGQ1YmI3MDRiMmUwNzQ4ZWEwY2FlODdhMGRiZjciLCJ1c2VySWQiOiIxNzcyMTQ3NjY5In0=</vt:lpwstr>
  </property>
</Properties>
</file>