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18E90">
      <w:pPr>
        <w:spacing w:before="312" w:beforeLines="100" w:after="312" w:afterLines="100" w:line="560" w:lineRule="exact"/>
        <w:ind w:firstLine="0" w:firstLineChars="0"/>
        <w:jc w:val="center"/>
        <w:rPr>
          <w:rFonts w:ascii="方正小标宋简体" w:eastAsia="方正小标宋简体"/>
          <w:sz w:val="44"/>
          <w:szCs w:val="44"/>
        </w:rPr>
      </w:pPr>
      <w:bookmarkStart w:id="0" w:name="_Toc30950"/>
      <w:r>
        <w:rPr>
          <w:rFonts w:hint="eastAsia" w:ascii="方正小标宋简体" w:eastAsia="方正小标宋简体"/>
          <w:sz w:val="44"/>
          <w:szCs w:val="44"/>
        </w:rPr>
        <w:t>北京市投资促进服务中心2</w:t>
      </w:r>
      <w:r>
        <w:rPr>
          <w:rFonts w:ascii="方正小标宋简体" w:eastAsia="方正小标宋简体"/>
          <w:sz w:val="44"/>
          <w:szCs w:val="44"/>
        </w:rPr>
        <w:t>02</w:t>
      </w:r>
      <w:r>
        <w:rPr>
          <w:rFonts w:hint="eastAsia" w:ascii="方正小标宋简体" w:eastAsia="方正小标宋简体"/>
          <w:sz w:val="44"/>
          <w:szCs w:val="44"/>
        </w:rPr>
        <w:t>2年度</w:t>
      </w:r>
      <w:bookmarkEnd w:id="0"/>
      <w:bookmarkStart w:id="1" w:name="_Toc23706"/>
      <w:r>
        <w:rPr>
          <w:rFonts w:hint="eastAsia" w:ascii="方正小标宋简体" w:eastAsia="方正小标宋简体"/>
          <w:sz w:val="44"/>
          <w:szCs w:val="44"/>
        </w:rPr>
        <w:br w:type="textWrapping"/>
      </w:r>
      <w:r>
        <w:rPr>
          <w:rFonts w:hint="eastAsia" w:ascii="方正小标宋简体" w:eastAsia="方正小标宋简体"/>
          <w:sz w:val="44"/>
          <w:szCs w:val="44"/>
        </w:rPr>
        <w:t>部门整体绩效评价报告</w:t>
      </w:r>
      <w:bookmarkEnd w:id="1"/>
    </w:p>
    <w:p w14:paraId="086117C3">
      <w:pPr>
        <w:spacing w:line="560" w:lineRule="exact"/>
        <w:ind w:firstLine="720"/>
        <w:jc w:val="center"/>
        <w:rPr>
          <w:rFonts w:ascii="方正小标宋简体" w:eastAsia="方正小标宋简体"/>
          <w:sz w:val="36"/>
          <w:szCs w:val="36"/>
        </w:rPr>
      </w:pPr>
    </w:p>
    <w:p w14:paraId="74FEE645">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落实全面实施预算绩效管理工作要求，建立科学、合理的项目支出绩效评价管理体系，提高财政资源配置效率和使用效益，强化支出责任，合理配置公共财政资源，依据《北京市财政局关于2023推进年全面预算绩效管理工作的通知》和《北京市项目支出绩效评价管理办法》（京财绩效〔2020〕2146号）及其他相关文件的规定，北京市投资促进服务中心（以下简称“市投资促进中心”）在汇总基本支出情况和项目支出绩效自评情况的基础上，进行整体绩效分析评价，形成本报告。</w:t>
      </w:r>
    </w:p>
    <w:p w14:paraId="07998B08">
      <w:pPr>
        <w:spacing w:line="360" w:lineRule="auto"/>
        <w:ind w:firstLine="640"/>
        <w:outlineLvl w:val="0"/>
        <w:rPr>
          <w:rFonts w:ascii="黑体" w:hAnsi="黑体" w:eastAsia="黑体" w:cs="宋体"/>
          <w:color w:val="000000"/>
          <w:kern w:val="0"/>
          <w:sz w:val="32"/>
          <w:szCs w:val="32"/>
        </w:rPr>
      </w:pPr>
      <w:bookmarkStart w:id="2" w:name="_Toc135208110"/>
      <w:r>
        <w:rPr>
          <w:rFonts w:hint="eastAsia" w:ascii="黑体" w:hAnsi="黑体" w:eastAsia="黑体" w:cs="宋体"/>
          <w:color w:val="000000"/>
          <w:kern w:val="0"/>
          <w:sz w:val="32"/>
          <w:szCs w:val="32"/>
        </w:rPr>
        <w:t>一、部门概况</w:t>
      </w:r>
      <w:bookmarkEnd w:id="2"/>
    </w:p>
    <w:p w14:paraId="1BB75508">
      <w:pPr>
        <w:spacing w:line="360" w:lineRule="auto"/>
        <w:ind w:firstLine="640"/>
        <w:outlineLvl w:val="1"/>
        <w:rPr>
          <w:rFonts w:ascii="楷体" w:hAnsi="楷体" w:eastAsia="楷体" w:cs="楷体"/>
          <w:sz w:val="32"/>
          <w:szCs w:val="32"/>
        </w:rPr>
      </w:pPr>
      <w:bookmarkStart w:id="3" w:name="_Toc135208111"/>
      <w:r>
        <w:rPr>
          <w:rFonts w:hint="eastAsia" w:ascii="楷体" w:hAnsi="楷体" w:eastAsia="楷体" w:cs="楷体"/>
          <w:sz w:val="32"/>
          <w:szCs w:val="32"/>
        </w:rPr>
        <w:t>（一）机构设置及职责工作任务情况</w:t>
      </w:r>
      <w:bookmarkEnd w:id="3"/>
    </w:p>
    <w:p w14:paraId="2A041039">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1.本部门性质、职责等情况</w:t>
      </w:r>
    </w:p>
    <w:p w14:paraId="27608024">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北京市投资促进服务中心是市政府直属负责招商引资，提供投资促进专业化服务的参照公务员法管理事业单位。</w:t>
      </w:r>
    </w:p>
    <w:p w14:paraId="78547537">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1）负责宣传推介北京市经济发展、招商引资的政策，建立与境内外投资客商的联系渠道，反映境内外投资客商的意见和要求，研究提出有关改善北京投资环境的建议，促进首都经济高质量发展。（2）受市政府委托负责境内外招商引资洽谈会、研讨会、博览会等大型活动的具体承办工作。（3）为境内外投资客商提供投资环境考察、信息、投资导向、申报程序、法律法规等方面的服务工作，承担境内外重要投资客商的有关接待工作。（4）为境内外投资者在京设立的企业提供协助、支持和相关服务工作。（5）开展代理并协调解决外商投资企业的有关投诉工作。（6）负责北京投资促进网的建设、运行与维护工作。负责投资促进网与政府审批平台以及各区招商引资网的链接工作。负责我市重点招商项目库、重点客商名录库的建立工作。（7）协调和联系各区、开发区有关招商引资、投资促进方面的工作。（8）负责北京外商投资企业协会的指导工作，联系驻京境外商协会和各省（市）在京商会。（9）负责在京外资企业的党建、工会和共青团工作。（10）负责统筹城市功能区投资促进服务与衔接。（11）承担市政府交办的其他有关境内外招商引资方面的工作。同时，近年来市委市政府还赋予以下7项工作：（1）承担全市重点企业服务管家相关工作；（2）承担北京市12345市民热线企业服务工作；（3）承担“两区”建设招商引资协调工作组办公室相关工作；（4）承担全市社会与民间投资促进的沟通协调相关工作；（5）参与北京市营商环境建设相关工作；（6）参与北京市“一带一路”建设相关工作；（7）参与京津冀协同发展相关工作。</w:t>
      </w:r>
    </w:p>
    <w:p w14:paraId="7D80D65A">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2.机构设置情况</w:t>
      </w:r>
    </w:p>
    <w:p w14:paraId="10A0CA12">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北京市投资促进服务中心共设办公室、机关党委（党建工作处）、人事处等内设机构13个。所属事业单位1个，为北京市投资促进综合事务中心。</w:t>
      </w:r>
    </w:p>
    <w:p w14:paraId="1AFA7A0C">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3.人员编制及实有情况</w:t>
      </w:r>
    </w:p>
    <w:p w14:paraId="2C58F6DC">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北京市投资促进服务中心部门事业编制105人，实际103人；退休人员40人。</w:t>
      </w:r>
    </w:p>
    <w:p w14:paraId="53CA8E09">
      <w:pPr>
        <w:spacing w:line="360" w:lineRule="auto"/>
        <w:ind w:firstLine="640"/>
        <w:outlineLvl w:val="1"/>
        <w:rPr>
          <w:rFonts w:ascii="楷体" w:hAnsi="楷体" w:eastAsia="楷体" w:cs="楷体"/>
          <w:sz w:val="32"/>
          <w:szCs w:val="32"/>
        </w:rPr>
      </w:pPr>
      <w:bookmarkStart w:id="4" w:name="_Toc135208112"/>
      <w:r>
        <w:rPr>
          <w:rFonts w:hint="eastAsia" w:ascii="楷体" w:hAnsi="楷体" w:eastAsia="楷体" w:cs="楷体"/>
          <w:sz w:val="32"/>
          <w:szCs w:val="32"/>
        </w:rPr>
        <w:t>（二）部门整体绩效目标设立情况</w:t>
      </w:r>
      <w:bookmarkEnd w:id="4"/>
    </w:p>
    <w:p w14:paraId="51BE85F2">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1.绩效目标设立</w:t>
      </w:r>
    </w:p>
    <w:p w14:paraId="5D72B075">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度部门整体目标为：市投资促进服务中心根据2022年市委、市政府决策部署和部门职能，结合中心工作计划设置了部门整体绩效目标及四项具体绩效指标。部门整体绩效目标及绩效指标与市投资促进服务中心年度各项职责任务高度匹配，具有可评价性。</w:t>
      </w:r>
    </w:p>
    <w:p w14:paraId="7D82180A">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绩效目标1：服务对象满意度指标。企业服务，汇聚国家、市级和各区的相关产业、区域支持政策，形成“市级统一+各区特色+行业特点”的政策服务包。用好12345企业服务热线等平台，强化政策宣传和咨询解读。</w:t>
      </w:r>
    </w:p>
    <w:p w14:paraId="46AC054B">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2：产出指标。宣传推介北京，加强市区协同，成立市区联合项目组促进重大项目落地，建立健全市领导对重大项目现场调研、重大项目协调调度，招商项目信息共享、推介活动联合筹办等工作机制，健全完善招商引资工作评价指标体系和监督考评工作机制。</w:t>
      </w:r>
    </w:p>
    <w:p w14:paraId="5A9342BC">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3：效益指标。统筹全市投资促进工作，加快职能转变、业务转型服务升级。培养引进一批熟悉政策、了解国情市情、具有全球视野、熟练运用外语、通晓国际规则、精通国际谈判的投资促进人才。充分发挥社会智库和专家力量，为投资促进业务能力建设提供智力支撑。</w:t>
      </w:r>
    </w:p>
    <w:p w14:paraId="6E60443F">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汇聚市、区相关部门和社会相关数据资源，建设形成招商项目库、推介活动库、政策清单库、空间资源库、目标企业库、企业发展服务库、招商渠道资源库等主题应用数据库。推动招商引资基础信息市区共享，完善系统功能模块。</w:t>
      </w:r>
    </w:p>
    <w:p w14:paraId="08FC68C6">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充分利用全球知名专业服务机构和境外、京外各类商协会资源优势，建立覆盖全球主要国家（地区）和国内经济发达地区的专业渠道招商网络，为项目来京落地提供各项专业服务。探索与全球重点城市建立联系、合作工作机制。</w:t>
      </w:r>
    </w:p>
    <w:p w14:paraId="53F3A1E1">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4：产出指标。利用好服贸会、中关村论坛、金融街论坛，以及京港洽谈会、进博会、广交会等重大活动平台，开展系列投资促进活动，深入推进“投资北京”品牌认知与推广。支持各区围绕主导产业，策划打造具有国际影响力的招商推介活动。</w:t>
      </w:r>
    </w:p>
    <w:p w14:paraId="43462849">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2.项目绩效评价情况分析</w:t>
      </w:r>
    </w:p>
    <w:p w14:paraId="1C2532EF">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单位2022年纳入部门预算绩效管理的项目共31个，共编制项目支出绩效目标申报表31份，共设定绩效指标183项，包括：办公用房租赁类项目、运行保障项目、搬家及开办经费、机构运转经费、课题研究类项目、北京香港经济合作研讨洽谈会、OA系统升级改造、绩效/评审/采购等管理经费、法律顾问费、舆情监测及舆情信息分析提供、机动经费等。</w:t>
      </w:r>
    </w:p>
    <w:p w14:paraId="7FA0C22B">
      <w:pPr>
        <w:spacing w:line="360" w:lineRule="auto"/>
        <w:ind w:firstLine="64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797E3E6C">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2022年支出预算数6,804.55万元，其中：基本支出预算数4,623.41万元、项目支出预算数2,181.15万元。资金总体支出6,123.02万元，其中：基本支出4,234.88万元、项目支出1,888.14万元。全年支出预算执行率为89.98%。</w:t>
      </w:r>
    </w:p>
    <w:p w14:paraId="073A07DF">
      <w:pPr>
        <w:spacing w:line="360" w:lineRule="auto"/>
        <w:ind w:firstLine="640"/>
        <w:outlineLvl w:val="0"/>
        <w:rPr>
          <w:rFonts w:ascii="黑体" w:hAnsi="黑体" w:eastAsia="黑体" w:cs="宋体"/>
          <w:color w:val="000000"/>
          <w:kern w:val="0"/>
          <w:sz w:val="32"/>
          <w:szCs w:val="32"/>
        </w:rPr>
      </w:pPr>
      <w:bookmarkStart w:id="5" w:name="_Toc135208113"/>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5"/>
    </w:p>
    <w:p w14:paraId="3FD5376E">
      <w:pPr>
        <w:tabs>
          <w:tab w:val="left" w:pos="5179"/>
        </w:tabs>
        <w:spacing w:line="360" w:lineRule="auto"/>
        <w:ind w:firstLine="640"/>
        <w:outlineLvl w:val="1"/>
        <w:rPr>
          <w:rFonts w:ascii="楷体" w:hAnsi="楷体" w:eastAsia="楷体" w:cs="楷体"/>
          <w:sz w:val="32"/>
          <w:szCs w:val="32"/>
        </w:rPr>
      </w:pPr>
      <w:bookmarkStart w:id="6" w:name="_Toc135208114"/>
      <w:bookmarkStart w:id="7" w:name="_Hlk112008196"/>
      <w:r>
        <w:rPr>
          <w:rFonts w:hint="eastAsia" w:ascii="楷体" w:hAnsi="楷体" w:eastAsia="楷体" w:cs="楷体"/>
          <w:sz w:val="32"/>
          <w:szCs w:val="32"/>
        </w:rPr>
        <w:t>（一）产出完成情况分析</w:t>
      </w:r>
      <w:bookmarkEnd w:id="6"/>
    </w:p>
    <w:p w14:paraId="1C4683E1">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w:t>
      </w:r>
    </w:p>
    <w:p w14:paraId="37D4BB44">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（1）基本支出，保障部门在编实有103人的人员经费，保障北京市投资促进服务中心本级和北京市投资促进综合事务中心2个机构的正常运转。</w:t>
      </w:r>
    </w:p>
    <w:p w14:paraId="1185EA7D">
      <w:pPr>
        <w:pStyle w:val="2"/>
        <w:ind w:firstLine="64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（2）项目支出，申请的31个项目，设置产出数量指标63个，执行指标 63个，指标值完成率总体为100%。</w:t>
      </w:r>
    </w:p>
    <w:p w14:paraId="1F153AC8">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w:t>
      </w:r>
    </w:p>
    <w:p w14:paraId="76A61ECA">
      <w:pPr>
        <w:pStyle w:val="2"/>
        <w:ind w:firstLine="64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市投资促进中心各项工作质量完成情况较好，例如项目验收通过率100%；项目实施符合相关政策要求；设备故障率不高于0%等质量指标均有效完成。</w:t>
      </w:r>
      <w:r>
        <w:rPr>
          <w:rFonts w:hint="eastAsia" w:ascii="仿宋_GB2312" w:hAnsi="仿宋_GB2312" w:eastAsia="仿宋_GB2312" w:cs="仿宋_GB2312"/>
          <w:sz w:val="32"/>
          <w:szCs w:val="32"/>
        </w:rPr>
        <w:t>共设置产出质量指标30个，执行30个，指标值完成率总体为100 %。</w:t>
      </w:r>
    </w:p>
    <w:p w14:paraId="6DCE7D3D">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3.产出进度</w:t>
      </w:r>
    </w:p>
    <w:p w14:paraId="6FB8BE56">
      <w:pPr>
        <w:pStyle w:val="2"/>
        <w:ind w:firstLine="640"/>
        <w:rPr>
          <w:rFonts w:ascii="仿宋_GB2312" w:hAnsi="宋体" w:eastAsia="仿宋_GB2312" w:cs="宋体"/>
          <w:color w:val="000000"/>
          <w:kern w:val="0"/>
          <w:sz w:val="32"/>
          <w:szCs w:val="32"/>
        </w:rPr>
      </w:pPr>
      <w:r>
        <w:rPr>
          <w:rFonts w:hint="eastAsia" w:ascii="仿宋_GB2312" w:hAnsi="仿宋_GB2312" w:eastAsia="仿宋_GB2312" w:cs="仿宋_GB2312"/>
          <w:color w:val="000000"/>
          <w:kern w:val="0"/>
          <w:sz w:val="32"/>
          <w:szCs w:val="32"/>
        </w:rPr>
        <w:t>市投资促进中心各项工作完成及时性较好，但是为配合全市做好2022年底疫情防控工作，个别活动类项目实施进度有所滞后。</w:t>
      </w:r>
      <w:r>
        <w:rPr>
          <w:rFonts w:hint="eastAsia" w:ascii="仿宋_GB2312" w:hAnsi="仿宋_GB2312" w:eastAsia="仿宋_GB2312" w:cs="仿宋_GB2312"/>
          <w:sz w:val="32"/>
          <w:szCs w:val="32"/>
        </w:rPr>
        <w:t>本部门项目支出涉及3</w:t>
      </w:r>
      <w:r>
        <w:rPr>
          <w:rFonts w:hint="eastAsia" w:ascii="仿宋_GB2312" w:hAnsi="仿宋_GB2312" w:eastAsia="仿宋_GB2312" w:cs="仿宋_GB2312"/>
          <w:color w:val="000000"/>
          <w:kern w:val="0"/>
          <w:sz w:val="32"/>
          <w:szCs w:val="32"/>
        </w:rPr>
        <w:t>1个，涉及资金</w:t>
      </w:r>
      <w:r>
        <w:rPr>
          <w:rFonts w:hint="eastAsia" w:ascii="仿宋_GB2312" w:hAnsi="仿宋_GB2312" w:eastAsia="仿宋_GB2312" w:cs="仿宋_GB2312"/>
          <w:sz w:val="32"/>
          <w:szCs w:val="32"/>
        </w:rPr>
        <w:t>2,181.15万元，执行率86.57%</w:t>
      </w:r>
      <w:r>
        <w:rPr>
          <w:rFonts w:hint="eastAsia" w:ascii="仿宋_GB2312" w:hAnsi="仿宋_GB2312" w:eastAsia="仿宋_GB2312" w:cs="仿宋_GB2312"/>
          <w:color w:val="000000"/>
          <w:kern w:val="0"/>
          <w:sz w:val="32"/>
          <w:szCs w:val="32"/>
        </w:rPr>
        <w:t>。其中27个已执行项目，涉及资金</w:t>
      </w:r>
      <w:r>
        <w:rPr>
          <w:rFonts w:hint="eastAsia" w:ascii="仿宋_GB2312" w:hAnsi="仿宋_GB2312" w:eastAsia="仿宋_GB2312" w:cs="仿宋_GB2312"/>
          <w:sz w:val="32"/>
          <w:szCs w:val="32"/>
        </w:rPr>
        <w:t>1,888.14万元</w:t>
      </w:r>
      <w:r>
        <w:rPr>
          <w:rFonts w:hint="eastAsia" w:ascii="仿宋_GB2312" w:hAnsi="仿宋_GB2312" w:eastAsia="仿宋_GB2312" w:cs="仿宋_GB2312"/>
          <w:color w:val="000000"/>
          <w:kern w:val="0"/>
          <w:sz w:val="32"/>
          <w:szCs w:val="32"/>
        </w:rPr>
        <w:t>，</w:t>
      </w:r>
      <w:bookmarkEnd w:id="7"/>
      <w:r>
        <w:rPr>
          <w:rFonts w:hint="eastAsia" w:ascii="仿宋_GB2312" w:hAnsi="仿宋_GB2312" w:eastAsia="仿宋_GB2312" w:cs="仿宋_GB2312"/>
          <w:color w:val="000000"/>
          <w:kern w:val="0"/>
          <w:sz w:val="32"/>
          <w:szCs w:val="32"/>
        </w:rPr>
        <w:t>4个未执行</w:t>
      </w:r>
      <w:r>
        <w:rPr>
          <w:rFonts w:hint="eastAsia" w:ascii="仿宋_GB2312" w:hAnsi="仿宋_GB2312" w:eastAsia="仿宋_GB2312" w:cs="仿宋_GB2312"/>
          <w:sz w:val="32"/>
          <w:szCs w:val="32"/>
        </w:rPr>
        <w:t>项目，涉及资金136.76万元。具体指标完成情况见下表：</w:t>
      </w:r>
    </w:p>
    <w:p w14:paraId="30A83FED">
      <w:pPr>
        <w:ind w:left="0" w:leftChars="0" w:firstLine="0" w:firstLineChars="0"/>
        <w:jc w:val="center"/>
        <w:rPr>
          <w:rFonts w:ascii="仿宋_GB2312" w:hAnsi="宋体" w:eastAsia="仿宋_GB2312" w:cs="宋体"/>
          <w:b/>
          <w:bCs/>
          <w:color w:val="000000"/>
          <w:kern w:val="0"/>
          <w:sz w:val="32"/>
          <w:szCs w:val="32"/>
        </w:rPr>
      </w:pPr>
      <w:r>
        <w:rPr>
          <w:rFonts w:hint="eastAsia" w:ascii="仿宋" w:hAnsi="仿宋" w:eastAsia="仿宋" w:cs="仿宋"/>
          <w:b/>
          <w:bCs/>
          <w:sz w:val="32"/>
          <w:szCs w:val="32"/>
        </w:rPr>
        <w:t>2022年部门项目指标完成情况</w:t>
      </w:r>
    </w:p>
    <w:p w14:paraId="31E71A84">
      <w:pPr>
        <w:spacing w:line="560" w:lineRule="exact"/>
        <w:ind w:left="120" w:leftChars="50" w:firstLine="6440" w:firstLineChars="2300"/>
        <w:rPr>
          <w:rFonts w:ascii="仿宋_GB2312" w:hAnsi="宋体" w:eastAsia="仿宋_GB2312" w:cs="宋体"/>
          <w:color w:val="000000"/>
          <w:kern w:val="0"/>
          <w:szCs w:val="28"/>
        </w:rPr>
      </w:pPr>
      <w:r>
        <w:rPr>
          <w:rFonts w:hint="eastAsia" w:ascii="仿宋" w:hAnsi="仿宋" w:eastAsia="仿宋" w:cs="仿宋"/>
          <w:sz w:val="28"/>
          <w:szCs w:val="32"/>
        </w:rPr>
        <w:t>单位：元</w:t>
      </w:r>
    </w:p>
    <w:tbl>
      <w:tblPr>
        <w:tblStyle w:val="15"/>
        <w:tblW w:w="8613" w:type="dxa"/>
        <w:tblInd w:w="0" w:type="dxa"/>
        <w:tblLayout w:type="fixed"/>
        <w:tblCellMar>
          <w:top w:w="0" w:type="dxa"/>
          <w:left w:w="108" w:type="dxa"/>
          <w:bottom w:w="0" w:type="dxa"/>
          <w:right w:w="108" w:type="dxa"/>
        </w:tblCellMar>
      </w:tblPr>
      <w:tblGrid>
        <w:gridCol w:w="739"/>
        <w:gridCol w:w="2488"/>
        <w:gridCol w:w="1984"/>
        <w:gridCol w:w="1985"/>
        <w:gridCol w:w="1417"/>
      </w:tblGrid>
      <w:tr w14:paraId="2287CCF1">
        <w:tblPrEx>
          <w:tblCellMar>
            <w:top w:w="0" w:type="dxa"/>
            <w:left w:w="108" w:type="dxa"/>
            <w:bottom w:w="0" w:type="dxa"/>
            <w:right w:w="108" w:type="dxa"/>
          </w:tblCellMar>
        </w:tblPrEx>
        <w:trPr>
          <w:trHeight w:val="794" w:hRule="atLeast"/>
          <w:tblHeader/>
        </w:trPr>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B15F">
            <w:pPr>
              <w:widowControl/>
              <w:ind w:firstLine="0" w:firstLineChars="0"/>
              <w:jc w:val="center"/>
              <w:textAlignment w:val="center"/>
              <w:rPr>
                <w:rFonts w:ascii="宋体" w:hAnsi="宋体" w:cs="宋体"/>
                <w:b/>
                <w:bCs/>
                <w:color w:val="000000"/>
                <w:szCs w:val="24"/>
              </w:rPr>
            </w:pPr>
            <w:bookmarkStart w:id="8" w:name="_Hlk112008210"/>
            <w:r>
              <w:rPr>
                <w:rFonts w:hint="eastAsia" w:ascii="宋体" w:hAnsi="宋体" w:cs="宋体"/>
                <w:b/>
                <w:bCs/>
                <w:color w:val="000000"/>
                <w:kern w:val="0"/>
                <w:szCs w:val="24"/>
                <w:lang w:bidi="ar"/>
              </w:rPr>
              <w:t>序号</w:t>
            </w:r>
          </w:p>
        </w:tc>
        <w:tc>
          <w:tcPr>
            <w:tcW w:w="2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C024F">
            <w:pPr>
              <w:widowControl/>
              <w:ind w:firstLine="482"/>
              <w:textAlignment w:val="center"/>
              <w:rPr>
                <w:rFonts w:ascii="宋体" w:hAnsi="宋体" w:cs="宋体"/>
                <w:b/>
                <w:bCs/>
                <w:color w:val="000000"/>
                <w:szCs w:val="24"/>
              </w:rPr>
            </w:pPr>
            <w:r>
              <w:rPr>
                <w:rFonts w:hint="eastAsia" w:ascii="宋体" w:hAnsi="宋体" w:cs="宋体"/>
                <w:b/>
                <w:bCs/>
                <w:color w:val="000000"/>
                <w:kern w:val="0"/>
                <w:szCs w:val="24"/>
                <w:lang w:bidi="ar"/>
              </w:rPr>
              <w:t>指标名称</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467A">
            <w:pPr>
              <w:widowControl/>
              <w:ind w:firstLine="0" w:firstLineChars="0"/>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指标内容</w:t>
            </w:r>
          </w:p>
          <w:p w14:paraId="2CF9F8E7">
            <w:pPr>
              <w:widowControl/>
              <w:ind w:firstLine="0" w:firstLineChars="0"/>
              <w:jc w:val="center"/>
              <w:textAlignment w:val="center"/>
              <w:rPr>
                <w:rFonts w:ascii="宋体" w:hAnsi="宋体" w:cs="宋体"/>
                <w:b/>
                <w:bCs/>
                <w:color w:val="000000"/>
                <w:szCs w:val="24"/>
              </w:rPr>
            </w:pPr>
            <w:r>
              <w:rPr>
                <w:rFonts w:hint="eastAsia" w:ascii="宋体" w:hAnsi="宋体" w:cs="宋体"/>
                <w:b/>
                <w:bCs/>
                <w:color w:val="000000"/>
                <w:kern w:val="0"/>
                <w:szCs w:val="24"/>
                <w:lang w:bidi="ar"/>
              </w:rPr>
              <w:t>和指标值</w:t>
            </w: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82A3">
            <w:pPr>
              <w:widowControl/>
              <w:adjustRightInd w:val="0"/>
              <w:snapToGrid w:val="0"/>
              <w:spacing w:line="240" w:lineRule="auto"/>
              <w:ind w:firstLine="0" w:firstLineChars="0"/>
              <w:jc w:val="center"/>
              <w:textAlignment w:val="center"/>
              <w:rPr>
                <w:rFonts w:ascii="宋体" w:hAnsi="宋体" w:cs="宋体"/>
                <w:b/>
                <w:bCs/>
                <w:color w:val="000000"/>
                <w:szCs w:val="24"/>
              </w:rPr>
            </w:pPr>
            <w:r>
              <w:rPr>
                <w:rFonts w:hint="eastAsia" w:ascii="宋体" w:hAnsi="宋体" w:cs="宋体"/>
                <w:b/>
                <w:bCs/>
                <w:color w:val="000000"/>
                <w:kern w:val="0"/>
                <w:szCs w:val="24"/>
                <w:lang w:bidi="ar"/>
              </w:rPr>
              <w:t>已落实情况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30ACB">
            <w:pPr>
              <w:widowControl/>
              <w:adjustRightInd w:val="0"/>
              <w:snapToGrid w:val="0"/>
              <w:spacing w:line="240" w:lineRule="auto"/>
              <w:ind w:firstLine="0" w:firstLineChars="0"/>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预算执行率</w:t>
            </w:r>
          </w:p>
        </w:tc>
      </w:tr>
      <w:tr w14:paraId="23074408">
        <w:tblPrEx>
          <w:tblCellMar>
            <w:top w:w="0" w:type="dxa"/>
            <w:left w:w="108" w:type="dxa"/>
            <w:bottom w:w="0" w:type="dxa"/>
            <w:right w:w="108" w:type="dxa"/>
          </w:tblCellMar>
        </w:tblPrEx>
        <w:trPr>
          <w:trHeight w:val="498"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BDDDF">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F2BE7">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办公用房租赁类项目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D2A18">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1,837,596.68</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9DEC9">
            <w:pPr>
              <w:widowControl/>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1,837,596.68</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2EB97">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60D3FDCC">
        <w:tblPrEx>
          <w:tblCellMar>
            <w:top w:w="0" w:type="dxa"/>
            <w:left w:w="108" w:type="dxa"/>
            <w:bottom w:w="0" w:type="dxa"/>
            <w:right w:w="108" w:type="dxa"/>
          </w:tblCellMar>
        </w:tblPrEx>
        <w:trPr>
          <w:trHeight w:val="483"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732CF">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E17D5">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运行保障项目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5E996">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1,051,599.52</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7F1D8">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982,309.52</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DF92A">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93.41%</w:t>
            </w:r>
          </w:p>
        </w:tc>
      </w:tr>
      <w:tr w14:paraId="24A09CBB">
        <w:tblPrEx>
          <w:tblCellMar>
            <w:top w:w="0" w:type="dxa"/>
            <w:left w:w="108" w:type="dxa"/>
            <w:bottom w:w="0" w:type="dxa"/>
            <w:right w:w="108" w:type="dxa"/>
          </w:tblCellMar>
        </w:tblPrEx>
        <w:trPr>
          <w:trHeight w:val="460"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4A872">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3</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56EA7">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课题研究类项目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A6D55">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539,000.00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3F9DE">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538,635.00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0AD02">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99.93%</w:t>
            </w:r>
          </w:p>
        </w:tc>
      </w:tr>
      <w:tr w14:paraId="2AFCF37D">
        <w:tblPrEx>
          <w:tblCellMar>
            <w:top w:w="0" w:type="dxa"/>
            <w:left w:w="108" w:type="dxa"/>
            <w:bottom w:w="0" w:type="dxa"/>
            <w:right w:w="108" w:type="dxa"/>
          </w:tblCellMar>
        </w:tblPrEx>
        <w:trPr>
          <w:trHeight w:val="49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64D2D">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4</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D0709">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北京香港经济合作研讨洽谈会</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D0E4F">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3,800,000.00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7E0A">
            <w:pPr>
              <w:widowControl/>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3,762,730.00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04CAE">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99.02%</w:t>
            </w:r>
          </w:p>
        </w:tc>
      </w:tr>
      <w:tr w14:paraId="6714FB55">
        <w:tblPrEx>
          <w:tblCellMar>
            <w:top w:w="0" w:type="dxa"/>
            <w:left w:w="108" w:type="dxa"/>
            <w:bottom w:w="0" w:type="dxa"/>
            <w:right w:w="108" w:type="dxa"/>
          </w:tblCellMar>
        </w:tblPrEx>
        <w:trPr>
          <w:trHeight w:val="49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29287">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5</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9EC88">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OA系统升级改造</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5C30D">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256,734.00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B5496">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256,734.00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4D0CA">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73442AD1">
        <w:tblPrEx>
          <w:tblCellMar>
            <w:top w:w="0" w:type="dxa"/>
            <w:left w:w="108" w:type="dxa"/>
            <w:bottom w:w="0" w:type="dxa"/>
            <w:right w:w="108" w:type="dxa"/>
          </w:tblCellMar>
        </w:tblPrEx>
        <w:trPr>
          <w:trHeight w:val="651"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6E074">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6</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713A9">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绩效/评审/采购等管理经费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3BFA7">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450,000.00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BBA2A">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442,400.00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6A630">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98.31%</w:t>
            </w:r>
          </w:p>
        </w:tc>
      </w:tr>
      <w:tr w14:paraId="4CE457DE">
        <w:tblPrEx>
          <w:tblCellMar>
            <w:top w:w="0" w:type="dxa"/>
            <w:left w:w="108" w:type="dxa"/>
            <w:bottom w:w="0" w:type="dxa"/>
            <w:right w:w="108" w:type="dxa"/>
          </w:tblCellMar>
        </w:tblPrEx>
        <w:trPr>
          <w:trHeight w:val="472"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B638F">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7</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FF4FE">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法律顾问费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3721D">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94,000.00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C9D0B">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94,000.00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AF384">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2EA96E29">
        <w:tblPrEx>
          <w:tblCellMar>
            <w:top w:w="0" w:type="dxa"/>
            <w:left w:w="108" w:type="dxa"/>
            <w:bottom w:w="0" w:type="dxa"/>
            <w:right w:w="108" w:type="dxa"/>
          </w:tblCellMar>
        </w:tblPrEx>
        <w:trPr>
          <w:trHeight w:val="51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0E391">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8</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D65BE">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舆情监测及舆情信息分析提供</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72C2B">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244,500.00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87029">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244,500.00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82A56">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03E13350">
        <w:tblPrEx>
          <w:tblCellMar>
            <w:top w:w="0" w:type="dxa"/>
            <w:left w:w="108" w:type="dxa"/>
            <w:bottom w:w="0" w:type="dxa"/>
            <w:right w:w="108" w:type="dxa"/>
          </w:tblCellMar>
        </w:tblPrEx>
        <w:trPr>
          <w:trHeight w:val="458"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FE5A6">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9</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2115B">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境内投资推介系列活动</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5891">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1,863,822.50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39A94">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1,039,388.00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B4AE1">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55.77%</w:t>
            </w:r>
          </w:p>
        </w:tc>
      </w:tr>
      <w:tr w14:paraId="4821976F">
        <w:tblPrEx>
          <w:tblCellMar>
            <w:top w:w="0" w:type="dxa"/>
            <w:left w:w="108" w:type="dxa"/>
            <w:bottom w:w="0" w:type="dxa"/>
            <w:right w:w="108" w:type="dxa"/>
          </w:tblCellMar>
        </w:tblPrEx>
        <w:trPr>
          <w:trHeight w:val="72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5BA55">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10</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9CEEC">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“两区”政策海外云推介活动</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26849">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967,000.00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E9786">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967,000.00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F0243">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0D9E1304">
        <w:tblPrEx>
          <w:tblCellMar>
            <w:top w:w="0" w:type="dxa"/>
            <w:left w:w="108" w:type="dxa"/>
            <w:bottom w:w="0" w:type="dxa"/>
            <w:right w:w="108" w:type="dxa"/>
          </w:tblCellMar>
        </w:tblPrEx>
        <w:trPr>
          <w:trHeight w:val="477"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CFAED">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11</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EC682">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中国国际投资贸易洽谈会</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A3C5D">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326,620.00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F6ECE">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326,620.00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50E58">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3B4BB28D">
        <w:tblPrEx>
          <w:tblCellMar>
            <w:top w:w="0" w:type="dxa"/>
            <w:left w:w="108" w:type="dxa"/>
            <w:bottom w:w="0" w:type="dxa"/>
            <w:right w:w="108" w:type="dxa"/>
          </w:tblCellMar>
        </w:tblPrEx>
        <w:trPr>
          <w:trHeight w:val="49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B9D09">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12</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370E1">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提供全球重点国别项目信息咨询服务的招商中介机构尾款项目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9AF90">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738,800.00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5A852">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738,800.00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30656">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611DE266">
        <w:tblPrEx>
          <w:tblCellMar>
            <w:top w:w="0" w:type="dxa"/>
            <w:left w:w="108" w:type="dxa"/>
            <w:bottom w:w="0" w:type="dxa"/>
            <w:right w:w="108" w:type="dxa"/>
          </w:tblCellMar>
        </w:tblPrEx>
        <w:trPr>
          <w:trHeight w:val="391"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32F8C">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13</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617F0">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提供国内高质量项目信息咨询服务的招商中介机构尾款项目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A4406">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79,700.00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9FD04">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79,700.00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AAA8C">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25FB72DA">
        <w:tblPrEx>
          <w:tblCellMar>
            <w:top w:w="0" w:type="dxa"/>
            <w:left w:w="108" w:type="dxa"/>
            <w:bottom w:w="0" w:type="dxa"/>
            <w:right w:w="108" w:type="dxa"/>
          </w:tblCellMar>
        </w:tblPrEx>
        <w:trPr>
          <w:trHeight w:val="50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54D98">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14</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FDB6B">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北京市对外招商推介宣传片</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A2227">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1,480,000.00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A15A1">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1,480,000.00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5D725">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27507A84">
        <w:tblPrEx>
          <w:tblCellMar>
            <w:top w:w="0" w:type="dxa"/>
            <w:left w:w="108" w:type="dxa"/>
            <w:bottom w:w="0" w:type="dxa"/>
            <w:right w:w="108" w:type="dxa"/>
          </w:tblCellMar>
        </w:tblPrEx>
        <w:trPr>
          <w:trHeight w:val="90"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F5168">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15</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DACE6">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北京投资服务网资料征集与编译</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F0F42">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252,000.00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6815E">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252,000.00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BDDE0">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35E08B88">
        <w:tblPrEx>
          <w:tblCellMar>
            <w:top w:w="0" w:type="dxa"/>
            <w:left w:w="108" w:type="dxa"/>
            <w:bottom w:w="0" w:type="dxa"/>
            <w:right w:w="108" w:type="dxa"/>
          </w:tblCellMar>
        </w:tblPrEx>
        <w:trPr>
          <w:trHeight w:val="74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6E803">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16</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16752">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北京12345企业热线运行保障服务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6B967">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2,201,800.00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3CA53">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2,201,800.00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EA102">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6C598868">
        <w:tblPrEx>
          <w:tblCellMar>
            <w:top w:w="0" w:type="dxa"/>
            <w:left w:w="108" w:type="dxa"/>
            <w:bottom w:w="0" w:type="dxa"/>
            <w:right w:w="108" w:type="dxa"/>
          </w:tblCellMar>
        </w:tblPrEx>
        <w:trPr>
          <w:trHeight w:val="547"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10F7E">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17</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C081A">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北京12345企业热线大数据分析服务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D9FAE">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375,776.00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330A0">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375,776.00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9AA37">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2A562206">
        <w:tblPrEx>
          <w:tblCellMar>
            <w:top w:w="0" w:type="dxa"/>
            <w:left w:w="108" w:type="dxa"/>
            <w:bottom w:w="0" w:type="dxa"/>
            <w:right w:w="108" w:type="dxa"/>
          </w:tblCellMar>
        </w:tblPrEx>
        <w:trPr>
          <w:trHeight w:val="77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DE879">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18</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2A974">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市场化项目信息采集服务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0DA1B">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54,020.00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B4FA7">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54,020.00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CFEBA">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229FDD98">
        <w:tblPrEx>
          <w:tblCellMar>
            <w:top w:w="0" w:type="dxa"/>
            <w:left w:w="108" w:type="dxa"/>
            <w:bottom w:w="0" w:type="dxa"/>
            <w:right w:w="108" w:type="dxa"/>
          </w:tblCellMar>
        </w:tblPrEx>
        <w:trPr>
          <w:trHeight w:val="71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52EB3">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19</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F81BD">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北京市＂十四五”时期＂两区”建设招商引资规划（委托业务费）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6E567">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477,900.00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CF286">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477,900.00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CA45D">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377CEE43">
        <w:tblPrEx>
          <w:tblCellMar>
            <w:top w:w="0" w:type="dxa"/>
            <w:left w:w="108" w:type="dxa"/>
            <w:bottom w:w="0" w:type="dxa"/>
            <w:right w:w="108" w:type="dxa"/>
          </w:tblCellMar>
        </w:tblPrEx>
        <w:trPr>
          <w:trHeight w:val="701"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64363">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20</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0CACE">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北京市投资促进项目管理系统运行维护</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0A67F">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213,120.00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2E2DA">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213,000.00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FD56F">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99.94%</w:t>
            </w:r>
          </w:p>
        </w:tc>
      </w:tr>
      <w:tr w14:paraId="26EA82CE">
        <w:tblPrEx>
          <w:tblCellMar>
            <w:top w:w="0" w:type="dxa"/>
            <w:left w:w="108" w:type="dxa"/>
            <w:bottom w:w="0" w:type="dxa"/>
            <w:right w:w="108" w:type="dxa"/>
          </w:tblCellMar>
        </w:tblPrEx>
        <w:trPr>
          <w:trHeight w:val="512"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7DC9F">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21</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FE31C">
            <w:pPr>
              <w:widowControl/>
              <w:adjustRightInd w:val="0"/>
              <w:snapToGrid w:val="0"/>
              <w:spacing w:line="240" w:lineRule="auto"/>
              <w:ind w:firstLine="0" w:firstLineChars="0"/>
              <w:textAlignment w:val="center"/>
              <w:rPr>
                <w:rFonts w:ascii="宋体" w:hAnsi="宋体" w:cs="宋体"/>
                <w:color w:val="000000"/>
                <w:kern w:val="0"/>
                <w:szCs w:val="24"/>
                <w:lang w:bidi="ar"/>
              </w:rPr>
            </w:pPr>
            <w:r>
              <w:rPr>
                <w:rFonts w:hint="eastAsia" w:ascii="宋体" w:hAnsi="宋体" w:cs="宋体"/>
                <w:color w:val="000000"/>
                <w:kern w:val="0"/>
                <w:szCs w:val="24"/>
                <w:lang w:bidi="ar"/>
              </w:rPr>
              <w:t>全市招商引资大数据综合服务平台项目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05752">
            <w:pPr>
              <w:widowControl/>
              <w:ind w:firstLine="240" w:firstLineChars="100"/>
              <w:textAlignment w:val="center"/>
              <w:rPr>
                <w:rFonts w:ascii="宋体" w:hAnsi="宋体" w:cs="宋体"/>
                <w:color w:val="000000"/>
                <w:kern w:val="0"/>
                <w:szCs w:val="24"/>
                <w:lang w:bidi="ar"/>
              </w:rPr>
            </w:pPr>
            <w:r>
              <w:rPr>
                <w:rFonts w:hint="eastAsia" w:ascii="宋体" w:hAnsi="宋体" w:cs="宋体"/>
                <w:color w:val="000000"/>
                <w:kern w:val="0"/>
                <w:szCs w:val="24"/>
                <w:lang w:bidi="ar"/>
              </w:rPr>
              <w:t>231,000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5613A">
            <w:pPr>
              <w:widowControl/>
              <w:ind w:firstLine="240" w:firstLineChars="100"/>
              <w:jc w:val="left"/>
              <w:textAlignment w:val="center"/>
              <w:rPr>
                <w:rFonts w:ascii="宋体" w:hAnsi="宋体" w:cs="宋体"/>
                <w:color w:val="000000"/>
                <w:kern w:val="0"/>
                <w:szCs w:val="24"/>
                <w:lang w:bidi="ar"/>
              </w:rPr>
            </w:pPr>
            <w:r>
              <w:rPr>
                <w:rFonts w:hint="eastAsia" w:ascii="宋体" w:hAnsi="宋体" w:cs="宋体"/>
                <w:color w:val="000000"/>
                <w:kern w:val="0"/>
                <w:szCs w:val="24"/>
                <w:lang w:bidi="ar"/>
              </w:rPr>
              <w:t>138,600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09720">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60%</w:t>
            </w:r>
          </w:p>
        </w:tc>
      </w:tr>
      <w:tr w14:paraId="3C0BB611">
        <w:tblPrEx>
          <w:tblCellMar>
            <w:top w:w="0" w:type="dxa"/>
            <w:left w:w="108" w:type="dxa"/>
            <w:bottom w:w="0" w:type="dxa"/>
            <w:right w:w="108" w:type="dxa"/>
          </w:tblCellMar>
        </w:tblPrEx>
        <w:trPr>
          <w:trHeight w:val="53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1D2FA">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22</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7BEAA">
            <w:pPr>
              <w:widowControl/>
              <w:adjustRightInd w:val="0"/>
              <w:snapToGrid w:val="0"/>
              <w:spacing w:line="240" w:lineRule="auto"/>
              <w:ind w:firstLine="0" w:firstLineChars="0"/>
              <w:textAlignment w:val="center"/>
              <w:rPr>
                <w:rFonts w:ascii="宋体" w:hAnsi="宋体" w:cs="宋体"/>
                <w:color w:val="000000"/>
                <w:kern w:val="0"/>
                <w:szCs w:val="24"/>
                <w:lang w:bidi="ar"/>
              </w:rPr>
            </w:pPr>
            <w:r>
              <w:rPr>
                <w:rFonts w:hint="eastAsia" w:ascii="宋体" w:hAnsi="宋体" w:cs="宋体"/>
                <w:color w:val="000000"/>
                <w:kern w:val="0"/>
                <w:szCs w:val="24"/>
                <w:lang w:bidi="ar"/>
              </w:rPr>
              <w:t>赴港活动经费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CA9E6">
            <w:pPr>
              <w:widowControl/>
              <w:ind w:firstLine="240" w:firstLineChars="100"/>
              <w:textAlignment w:val="center"/>
              <w:rPr>
                <w:rFonts w:ascii="宋体" w:hAnsi="宋体" w:cs="宋体"/>
                <w:color w:val="000000"/>
                <w:kern w:val="0"/>
                <w:szCs w:val="24"/>
                <w:lang w:bidi="ar"/>
              </w:rPr>
            </w:pPr>
            <w:r>
              <w:rPr>
                <w:rFonts w:hint="eastAsia" w:ascii="宋体" w:hAnsi="宋体" w:cs="宋体"/>
                <w:color w:val="000000"/>
                <w:kern w:val="0"/>
                <w:szCs w:val="24"/>
                <w:lang w:bidi="ar"/>
              </w:rPr>
              <w:t>221,176</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B1534">
            <w:pPr>
              <w:widowControl/>
              <w:ind w:firstLine="240" w:firstLineChars="100"/>
              <w:jc w:val="left"/>
              <w:textAlignment w:val="center"/>
              <w:rPr>
                <w:rFonts w:ascii="宋体" w:hAnsi="宋体" w:cs="宋体"/>
                <w:color w:val="000000"/>
                <w:kern w:val="0"/>
                <w:szCs w:val="24"/>
                <w:lang w:bidi="ar"/>
              </w:rPr>
            </w:pPr>
            <w:r>
              <w:rPr>
                <w:rFonts w:hint="eastAsia" w:ascii="宋体" w:hAnsi="宋体" w:cs="宋体"/>
                <w:color w:val="000000"/>
                <w:kern w:val="0"/>
                <w:szCs w:val="24"/>
                <w:lang w:bidi="ar"/>
              </w:rPr>
              <w:t>198,150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9DCEB">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89.59%</w:t>
            </w:r>
          </w:p>
        </w:tc>
      </w:tr>
      <w:tr w14:paraId="770670EF">
        <w:tblPrEx>
          <w:tblCellMar>
            <w:top w:w="0" w:type="dxa"/>
            <w:left w:w="108" w:type="dxa"/>
            <w:bottom w:w="0" w:type="dxa"/>
            <w:right w:w="108" w:type="dxa"/>
          </w:tblCellMar>
        </w:tblPrEx>
        <w:trPr>
          <w:trHeight w:val="76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FCF6D">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23</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63F8F">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信息化运维服务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6D69">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1,074,957.05</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46604">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1,017,677.88</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24310">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92.88%</w:t>
            </w:r>
          </w:p>
        </w:tc>
      </w:tr>
      <w:tr w14:paraId="4E34AA4A">
        <w:tblPrEx>
          <w:tblCellMar>
            <w:top w:w="0" w:type="dxa"/>
            <w:left w:w="108" w:type="dxa"/>
            <w:bottom w:w="0" w:type="dxa"/>
            <w:right w:w="108" w:type="dxa"/>
          </w:tblCellMar>
        </w:tblPrEx>
        <w:trPr>
          <w:trHeight w:val="45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0E84F">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24</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8B893">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OA系统升级改造</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56917">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4,926.00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C48BC">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4,926.00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DEC1B">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68D0539A">
        <w:tblPrEx>
          <w:tblCellMar>
            <w:top w:w="0" w:type="dxa"/>
            <w:left w:w="108" w:type="dxa"/>
            <w:bottom w:w="0" w:type="dxa"/>
            <w:right w:w="108" w:type="dxa"/>
          </w:tblCellMar>
        </w:tblPrEx>
        <w:trPr>
          <w:trHeight w:val="45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5278E">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25</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88069">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运行保障项目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2F1F3">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136,000.00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723D0">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81,789.00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BEC5">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94.67%</w:t>
            </w:r>
          </w:p>
        </w:tc>
      </w:tr>
      <w:tr w14:paraId="11AC69DB">
        <w:tblPrEx>
          <w:tblCellMar>
            <w:top w:w="0" w:type="dxa"/>
            <w:left w:w="108" w:type="dxa"/>
            <w:bottom w:w="0" w:type="dxa"/>
            <w:right w:w="108" w:type="dxa"/>
          </w:tblCellMar>
        </w:tblPrEx>
        <w:trPr>
          <w:trHeight w:val="45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96F74">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szCs w:val="24"/>
              </w:rPr>
              <w:t>26</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14567">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办公用房租赁类项目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7DFD">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1,055,965.00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2187F">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1,055,964.49</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166C0">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14:paraId="4C80FFAE">
        <w:tblPrEx>
          <w:tblCellMar>
            <w:top w:w="0" w:type="dxa"/>
            <w:left w:w="108" w:type="dxa"/>
            <w:bottom w:w="0" w:type="dxa"/>
            <w:right w:w="108" w:type="dxa"/>
          </w:tblCellMar>
        </w:tblPrEx>
        <w:trPr>
          <w:trHeight w:val="532"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00EF4">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27</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CB901">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机构运转经费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176C3">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415,873.00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35D37">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19,400.00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38643">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4.66%</w:t>
            </w:r>
          </w:p>
        </w:tc>
      </w:tr>
      <w:tr w14:paraId="554C54EC">
        <w:tblPrEx>
          <w:tblCellMar>
            <w:top w:w="0" w:type="dxa"/>
            <w:left w:w="108" w:type="dxa"/>
            <w:bottom w:w="0" w:type="dxa"/>
            <w:right w:w="108" w:type="dxa"/>
          </w:tblCellMar>
        </w:tblPrEx>
        <w:trPr>
          <w:trHeight w:val="469"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E9404">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28</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66007">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机动经费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C0978">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79,357.00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8BE45">
            <w:pPr>
              <w:widowControl/>
              <w:ind w:firstLine="240" w:firstLineChars="100"/>
              <w:jc w:val="center"/>
              <w:textAlignment w:val="center"/>
              <w:rPr>
                <w:rFonts w:ascii="宋体" w:hAnsi="宋体" w:cs="宋体"/>
                <w:color w:val="000000"/>
                <w:szCs w:val="24"/>
              </w:rPr>
            </w:pPr>
            <w:r>
              <w:rPr>
                <w:rFonts w:hint="eastAsia" w:ascii="宋体" w:hAnsi="宋体" w:cs="宋体"/>
                <w:color w:val="000000"/>
                <w:kern w:val="0"/>
                <w:szCs w:val="24"/>
                <w:lang w:bidi="ar"/>
              </w:rPr>
              <w:t>未执行</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AD000">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0</w:t>
            </w:r>
          </w:p>
        </w:tc>
      </w:tr>
      <w:tr w14:paraId="49034798">
        <w:tblPrEx>
          <w:tblCellMar>
            <w:top w:w="0" w:type="dxa"/>
            <w:left w:w="108" w:type="dxa"/>
            <w:bottom w:w="0" w:type="dxa"/>
            <w:right w:w="108" w:type="dxa"/>
          </w:tblCellMar>
        </w:tblPrEx>
        <w:trPr>
          <w:trHeight w:val="440"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489A2">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29</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48B7A">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搬家及开办经费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D7004">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1,077,424.50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25E96">
            <w:pPr>
              <w:widowControl/>
              <w:ind w:firstLine="240" w:firstLineChars="100"/>
              <w:jc w:val="center"/>
              <w:textAlignment w:val="center"/>
              <w:rPr>
                <w:rFonts w:ascii="宋体" w:hAnsi="宋体" w:cs="宋体"/>
                <w:color w:val="000000"/>
                <w:szCs w:val="24"/>
              </w:rPr>
            </w:pPr>
            <w:r>
              <w:rPr>
                <w:rFonts w:hint="eastAsia" w:ascii="宋体" w:hAnsi="宋体" w:cs="宋体"/>
                <w:color w:val="000000"/>
                <w:kern w:val="0"/>
                <w:szCs w:val="24"/>
                <w:lang w:bidi="ar"/>
              </w:rPr>
              <w:t>未执行</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F6871">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0</w:t>
            </w:r>
          </w:p>
        </w:tc>
      </w:tr>
      <w:tr w14:paraId="668FAF66">
        <w:tblPrEx>
          <w:tblCellMar>
            <w:top w:w="0" w:type="dxa"/>
            <w:left w:w="108" w:type="dxa"/>
            <w:bottom w:w="0" w:type="dxa"/>
            <w:right w:w="108" w:type="dxa"/>
          </w:tblCellMar>
        </w:tblPrEx>
        <w:trPr>
          <w:trHeight w:val="411"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78E40">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30</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D3167">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机构运转经费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FA72E">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190,789.50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8329A">
            <w:pPr>
              <w:widowControl/>
              <w:ind w:firstLine="240" w:firstLineChars="100"/>
              <w:jc w:val="center"/>
              <w:textAlignment w:val="center"/>
              <w:rPr>
                <w:rFonts w:ascii="宋体" w:hAnsi="宋体" w:cs="宋体"/>
                <w:color w:val="000000"/>
                <w:szCs w:val="24"/>
              </w:rPr>
            </w:pPr>
            <w:r>
              <w:rPr>
                <w:rFonts w:hint="eastAsia" w:ascii="宋体" w:hAnsi="宋体" w:cs="宋体"/>
                <w:color w:val="000000"/>
                <w:kern w:val="0"/>
                <w:szCs w:val="24"/>
                <w:lang w:bidi="ar"/>
              </w:rPr>
              <w:t>未执行</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BB897">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0</w:t>
            </w:r>
          </w:p>
        </w:tc>
      </w:tr>
      <w:tr w14:paraId="036F7F87">
        <w:tblPrEx>
          <w:tblCellMar>
            <w:top w:w="0" w:type="dxa"/>
            <w:left w:w="108" w:type="dxa"/>
            <w:bottom w:w="0" w:type="dxa"/>
            <w:right w:w="108" w:type="dxa"/>
          </w:tblCellMar>
        </w:tblPrEx>
        <w:trPr>
          <w:trHeight w:val="497"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A50AF">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szCs w:val="24"/>
              </w:rPr>
              <w:t>31</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A8DA2">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机构运转经费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24FE1">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20,000.00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B167F">
            <w:pPr>
              <w:widowControl/>
              <w:ind w:firstLine="240" w:firstLineChars="100"/>
              <w:jc w:val="center"/>
              <w:textAlignment w:val="center"/>
              <w:rPr>
                <w:rFonts w:ascii="宋体" w:hAnsi="宋体" w:cs="宋体"/>
                <w:color w:val="000000"/>
                <w:szCs w:val="24"/>
              </w:rPr>
            </w:pPr>
            <w:r>
              <w:rPr>
                <w:rFonts w:hint="eastAsia" w:ascii="宋体" w:hAnsi="宋体" w:cs="宋体"/>
                <w:color w:val="000000"/>
                <w:kern w:val="0"/>
                <w:szCs w:val="24"/>
                <w:lang w:bidi="ar"/>
              </w:rPr>
              <w:t>未执行</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E9745">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0</w:t>
            </w:r>
          </w:p>
        </w:tc>
      </w:tr>
      <w:tr w14:paraId="13ABA1BB">
        <w:tblPrEx>
          <w:tblCellMar>
            <w:top w:w="0" w:type="dxa"/>
            <w:left w:w="108" w:type="dxa"/>
            <w:bottom w:w="0" w:type="dxa"/>
            <w:right w:w="108" w:type="dxa"/>
          </w:tblCellMar>
        </w:tblPrEx>
        <w:trPr>
          <w:trHeight w:val="497" w:hRule="atLeast"/>
        </w:trPr>
        <w:tc>
          <w:tcPr>
            <w:tcW w:w="32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FA0FD">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合  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8C9C0">
            <w:pPr>
              <w:widowControl/>
              <w:ind w:firstLine="0" w:firstLineChars="0"/>
              <w:textAlignment w:val="center"/>
              <w:rPr>
                <w:rFonts w:ascii="宋体" w:hAnsi="宋体" w:cs="宋体"/>
                <w:color w:val="000000"/>
                <w:kern w:val="0"/>
                <w:szCs w:val="24"/>
                <w:lang w:bidi="ar"/>
              </w:rPr>
            </w:pPr>
            <w:r>
              <w:rPr>
                <w:rFonts w:hint="eastAsia" w:ascii="宋体" w:hAnsi="宋体" w:cs="宋体"/>
                <w:color w:val="000000"/>
                <w:kern w:val="0"/>
                <w:szCs w:val="24"/>
                <w:lang w:bidi="ar"/>
              </w:rPr>
              <w:t>21,811,456.75</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A7EB">
            <w:pPr>
              <w:widowControl/>
              <w:ind w:firstLine="0" w:firstLineChars="0"/>
              <w:jc w:val="center"/>
              <w:textAlignment w:val="center"/>
              <w:rPr>
                <w:rFonts w:ascii="宋体" w:hAnsi="宋体" w:cs="宋体"/>
                <w:color w:val="000000"/>
                <w:sz w:val="22"/>
              </w:rPr>
            </w:pPr>
            <w:r>
              <w:rPr>
                <w:rFonts w:hint="eastAsia" w:ascii="宋体" w:hAnsi="宋体" w:cs="宋体"/>
                <w:color w:val="000000"/>
                <w:kern w:val="0"/>
                <w:szCs w:val="24"/>
                <w:lang w:bidi="ar"/>
              </w:rPr>
              <w:t>18,881,416.57</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085C4">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86.57%</w:t>
            </w:r>
          </w:p>
        </w:tc>
      </w:tr>
    </w:tbl>
    <w:p w14:paraId="05C3A54A">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4.产出成本  </w:t>
      </w:r>
    </w:p>
    <w:p w14:paraId="4116FF29">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各项目共设置产出成本指标23个，指标值完成率总体为100%。在项目实施和预算执行过程中，能够坚持过紧日子的思想，树立成本效益意识，严格控制各项财政成本支出，当年完成的项目均未出现超支现象。 </w:t>
      </w:r>
    </w:p>
    <w:bookmarkEnd w:id="8"/>
    <w:p w14:paraId="00CEF6B6">
      <w:pPr>
        <w:spacing w:line="600" w:lineRule="exact"/>
        <w:ind w:firstLine="640"/>
        <w:outlineLvl w:val="1"/>
        <w:rPr>
          <w:rFonts w:ascii="楷体" w:hAnsi="楷体" w:eastAsia="楷体" w:cs="楷体"/>
          <w:sz w:val="32"/>
          <w:szCs w:val="32"/>
        </w:rPr>
      </w:pPr>
      <w:bookmarkStart w:id="9" w:name="_Toc135208115"/>
      <w:r>
        <w:rPr>
          <w:rFonts w:hint="eastAsia" w:ascii="楷体" w:hAnsi="楷体" w:eastAsia="楷体" w:cs="楷体"/>
          <w:sz w:val="32"/>
          <w:szCs w:val="32"/>
        </w:rPr>
        <w:t>（二）效果实现情况分析</w:t>
      </w:r>
      <w:bookmarkEnd w:id="9"/>
    </w:p>
    <w:p w14:paraId="13FFA198">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1.经济效益</w:t>
      </w:r>
    </w:p>
    <w:p w14:paraId="49B9D40E">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共设置经济指标值4个，从收集的资料来看，产生了较大的经济效益。</w:t>
      </w:r>
    </w:p>
    <w:p w14:paraId="3D67CC59">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项目完成较明显的经济效益有：利用“京港洽谈会”现场签约项目9个，涉及金额92.02亿美元。充分发挥中国国际服务贸易交易会主场优势，举办了投资北京峰会，58个重大项目集中签约，累计签约金额1024亿元，120多家跨国公司、境内外商协会和行业示范企业代表参会。</w:t>
      </w:r>
    </w:p>
    <w:p w14:paraId="26BAA948">
      <w:pPr>
        <w:spacing w:line="600" w:lineRule="exact"/>
        <w:ind w:firstLine="640"/>
        <w:rPr>
          <w:rFonts w:ascii="仿宋_GB2312" w:hAnsi="仿宋_GB2312" w:eastAsia="仿宋_GB2312" w:cs="仿宋_GB2312"/>
          <w:sz w:val="32"/>
          <w:szCs w:val="32"/>
        </w:rPr>
      </w:pPr>
      <w:bookmarkStart w:id="10" w:name="_Hlk112008221"/>
      <w:r>
        <w:rPr>
          <w:rFonts w:hint="eastAsia" w:ascii="仿宋_GB2312" w:hAnsi="仿宋_GB2312" w:eastAsia="仿宋_GB2312" w:cs="仿宋_GB2312"/>
          <w:sz w:val="32"/>
          <w:szCs w:val="32"/>
        </w:rPr>
        <w:t>2.社会效益</w:t>
      </w:r>
    </w:p>
    <w:p w14:paraId="75E4F50B">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共设置社会效益指标20个，相关项目的实施，社会效益显著，在国内外产生了重大影响和良好反响，各项社会效益指标圆满完成。</w:t>
      </w:r>
    </w:p>
    <w:bookmarkEnd w:id="10"/>
    <w:p w14:paraId="7E093652">
      <w:pPr>
        <w:snapToGrid w:val="0"/>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利用5场“两区”政策海外云推介活动和3场重点产业线上投资推介活动，超过1000家机构企业参会。</w:t>
      </w:r>
    </w:p>
    <w:p w14:paraId="2170FEF9">
      <w:pPr>
        <w:snapToGrid w:val="0"/>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3.环境效益</w:t>
      </w:r>
    </w:p>
    <w:p w14:paraId="4CC50FED">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开展专题推介活动。通过中国国际进口博览会、中国—东盟博览会、中国国际投资贸易洽谈会等重要展会平台，面向境内外企业开展投资北京专题推介活动，并探索设立了“投资北京会客厅”，充分展示北京投资环境和政策优势，移动的“会客厅”效果初显。</w:t>
      </w:r>
    </w:p>
    <w:p w14:paraId="3836FE99">
      <w:pPr>
        <w:spacing w:line="600" w:lineRule="exact"/>
        <w:ind w:firstLine="640"/>
        <w:rPr>
          <w:rFonts w:ascii="仿宋_GB2312" w:hAnsi="仿宋_GB2312" w:eastAsia="仿宋_GB2312" w:cs="仿宋_GB2312"/>
          <w:sz w:val="32"/>
          <w:szCs w:val="32"/>
        </w:rPr>
      </w:pPr>
      <w:bookmarkStart w:id="11" w:name="_Hlk112008234"/>
      <w:r>
        <w:rPr>
          <w:rFonts w:hint="eastAsia" w:ascii="仿宋_GB2312" w:hAnsi="仿宋_GB2312" w:eastAsia="仿宋_GB2312" w:cs="仿宋_GB2312"/>
          <w:sz w:val="32"/>
          <w:szCs w:val="32"/>
        </w:rPr>
        <w:t>4.服务对象满意度</w:t>
      </w:r>
    </w:p>
    <w:p w14:paraId="2AB0BE69">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共设置服务对象满意度指标22个，从收集的资料来看，仅体现北京市领导和市投资促进服务中心领导对服务保障工作的满意度，缺乏对投资企业、参会人员、举办方等服务对象的满意度调查。</w:t>
      </w:r>
    </w:p>
    <w:bookmarkEnd w:id="11"/>
    <w:p w14:paraId="2AD96D79">
      <w:pPr>
        <w:spacing w:line="360" w:lineRule="auto"/>
        <w:ind w:firstLine="640"/>
        <w:outlineLvl w:val="0"/>
        <w:rPr>
          <w:rFonts w:ascii="黑体" w:hAnsi="黑体" w:eastAsia="黑体" w:cs="宋体"/>
          <w:color w:val="000000"/>
          <w:kern w:val="0"/>
          <w:sz w:val="32"/>
          <w:szCs w:val="32"/>
        </w:rPr>
      </w:pPr>
      <w:bookmarkStart w:id="12" w:name="_Toc135208116"/>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12"/>
    </w:p>
    <w:p w14:paraId="768E397D">
      <w:pPr>
        <w:spacing w:line="600" w:lineRule="exact"/>
        <w:ind w:firstLine="640"/>
        <w:outlineLvl w:val="1"/>
        <w:rPr>
          <w:rFonts w:ascii="楷体" w:hAnsi="楷体" w:eastAsia="楷体" w:cs="楷体"/>
          <w:sz w:val="32"/>
          <w:szCs w:val="32"/>
        </w:rPr>
      </w:pPr>
      <w:bookmarkStart w:id="13" w:name="_Toc135208117"/>
      <w:r>
        <w:rPr>
          <w:rFonts w:hint="eastAsia" w:ascii="楷体" w:hAnsi="楷体" w:eastAsia="楷体" w:cs="楷体"/>
          <w:sz w:val="32"/>
          <w:szCs w:val="32"/>
        </w:rPr>
        <w:t>（一）财务管理</w:t>
      </w:r>
      <w:bookmarkEnd w:id="13"/>
    </w:p>
    <w:p w14:paraId="203D1A05">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14:paraId="3669036C">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的财务管理工作严格按照《北京市投资促进服务中心综合财务管理制度》《北京市投资促进服务中心预算管理制度》《北京市投资促进服务中心政府采购管理办法》的相关规定执行，为科学合理使用项目资金提供了制度保障。</w:t>
      </w:r>
    </w:p>
    <w:p w14:paraId="1C7383A8">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14:paraId="09D5BF0C">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项目资金支出严格执行市财政及内控制度的相关规定，按照资金审批权限报送相关领导审批等手续支付项目资金；项目资金严格实行专款专用，避免出现财政资金被挤占、挪用等违规行为。</w:t>
      </w:r>
    </w:p>
    <w:p w14:paraId="432B00BB">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实行统一领导、分级管理、授权审批的预算管理体制，确保资金使用合规和安全。在预算执行和资金使用层面，能够执行相关财务、预算、采购、资产、合同等管理制度，政府采购支出、</w:t>
      </w:r>
      <w:bookmarkStart w:id="26" w:name="_GoBack"/>
      <w:bookmarkEnd w:id="26"/>
      <w:r>
        <w:rPr>
          <w:rFonts w:hint="eastAsia" w:ascii="仿宋_GB2312" w:hAnsi="仿宋_GB2312" w:eastAsia="仿宋_GB2312" w:cs="仿宋_GB2312"/>
          <w:sz w:val="32"/>
          <w:szCs w:val="32"/>
          <w:lang w:eastAsia="zh-CN"/>
        </w:rPr>
        <w:t>“三公”经费</w:t>
      </w:r>
      <w:r>
        <w:rPr>
          <w:rFonts w:hint="eastAsia" w:ascii="仿宋_GB2312" w:hAnsi="仿宋_GB2312" w:eastAsia="仿宋_GB2312" w:cs="仿宋_GB2312"/>
          <w:sz w:val="32"/>
          <w:szCs w:val="32"/>
        </w:rPr>
        <w:t>、培训费支出等严格按预算批复执行，除了日常的财务监督外，各归口管理部门发挥职能监督作用，严格审计监督、纪检监察，强化财经纪律的刚性，防范经济风险。</w:t>
      </w:r>
    </w:p>
    <w:p w14:paraId="24C80472">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3.会计基础信息完善性</w:t>
      </w:r>
    </w:p>
    <w:p w14:paraId="799055A6">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在项目实施过程中，按规定设专账核算，各项开支严格按照审批程序执行，符合北京市财政局及北京市投资促进服务中心财务制度要求，按标准支出，无虚列支出、无截留、挤占、挪用资金情况，能够严格按照专款专用的原则实行项目管理，财务核算资料完整，财务管理较为规范。</w:t>
      </w:r>
    </w:p>
    <w:p w14:paraId="0B4330AC">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4.预决算信息公开方面</w:t>
      </w:r>
    </w:p>
    <w:p w14:paraId="36C7F52E">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北京市投资促进服务中心将2022年度预决算信息，严格按规定内容、规定时限和范围内在北京市政府网站进行了公开，公开信息完整，做到预决算管理公开透明。</w:t>
      </w:r>
    </w:p>
    <w:p w14:paraId="24312BB5">
      <w:pPr>
        <w:spacing w:line="600" w:lineRule="exact"/>
        <w:ind w:firstLine="640"/>
        <w:outlineLvl w:val="1"/>
        <w:rPr>
          <w:rFonts w:ascii="仿宋_GB2312" w:hAnsi="仿宋_GB2312" w:eastAsia="仿宋_GB2312" w:cs="仿宋_GB2312"/>
          <w:sz w:val="32"/>
          <w:szCs w:val="32"/>
        </w:rPr>
      </w:pPr>
      <w:bookmarkStart w:id="14" w:name="_Toc135208118"/>
      <w:r>
        <w:rPr>
          <w:rFonts w:hint="eastAsia" w:ascii="楷体" w:hAnsi="楷体" w:eastAsia="楷体" w:cs="楷体"/>
          <w:sz w:val="32"/>
          <w:szCs w:val="32"/>
        </w:rPr>
        <w:t>（二）资产管理</w:t>
      </w:r>
      <w:bookmarkEnd w:id="14"/>
    </w:p>
    <w:p w14:paraId="3BDE7F89">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1.资产配置严格按照国家部委及北京市相关部门制定的标准执行。没有规定配置标准的，从严控制，优先通过调剂，合理配置解决。</w:t>
      </w:r>
    </w:p>
    <w:p w14:paraId="151EAB03">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2.建立健全资产管理机制，对资产的购置、使用、报废、处置进行完善的管理和监控，每年及时清查闲置资产进行报废及处置，确保资产保存完整、使用合规、配置合理、保管完整，账实相符，资产配置规范。</w:t>
      </w:r>
    </w:p>
    <w:p w14:paraId="55929799">
      <w:pPr>
        <w:spacing w:line="600" w:lineRule="exact"/>
        <w:ind w:firstLine="640"/>
        <w:outlineLvl w:val="1"/>
        <w:rPr>
          <w:rFonts w:ascii="楷体" w:hAnsi="楷体" w:eastAsia="楷体" w:cs="楷体"/>
          <w:sz w:val="32"/>
          <w:szCs w:val="32"/>
        </w:rPr>
      </w:pPr>
      <w:bookmarkStart w:id="15" w:name="_Toc135208119"/>
      <w:r>
        <w:rPr>
          <w:rFonts w:hint="eastAsia" w:ascii="楷体" w:hAnsi="楷体" w:eastAsia="楷体" w:cs="楷体"/>
          <w:sz w:val="32"/>
          <w:szCs w:val="32"/>
        </w:rPr>
        <w:t>（三）绩效管理</w:t>
      </w:r>
      <w:bookmarkEnd w:id="15"/>
    </w:p>
    <w:p w14:paraId="12E7701B">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1.各部门职责</w:t>
      </w:r>
    </w:p>
    <w:p w14:paraId="40184817">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北京市投资促进服务中心财务部门是绩效管理的牵头部门，审核各预算部门提交的绩效目标，配合财政部门开展事前绩效评估工作；组织预算执行绩效跟踪，并按规定及时将执行中存在的问题和整改措施报财政部门，并组织开展绩效自评工作。    </w:t>
      </w:r>
    </w:p>
    <w:p w14:paraId="26374C19">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各相关部门根据年度工作计划和部门职责，编制年度预算。同时制定清晰、量化的绩效目标，加强项目论证和审核；执行过程中严格按预期的绩效目标组织项目实施；提供绩效评价所需要的相关资料及撰写项目自评报告；根据评价结果查找资金使用和管理中的薄弱环节，制定整改措施，改善绩效管理工作。</w:t>
      </w:r>
    </w:p>
    <w:p w14:paraId="2762B0C2">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所有项目在预算编制过程中均填报绩效目标申报表，明确项目总目标，以便进行绩效跟踪、绩效管理，在年度终结后均填报绩效自评表，进行绩效评价，形成闭环管理，指导预算工作，真正提高资金使用效率和效益。</w:t>
      </w:r>
    </w:p>
    <w:p w14:paraId="4A4BFBA9">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2.项目支出绩效自评</w:t>
      </w:r>
    </w:p>
    <w:p w14:paraId="2C922CF3">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2022年度部门项目支出共31个项目，预算批复金额2,181.15万元。其中参与评价项目31个，占部门项目总数的100%，自评情况如下：</w:t>
      </w:r>
    </w:p>
    <w:p w14:paraId="0D95F51E">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（1）重点评价项目1个，为“北京香港经济合作研讨洽谈会”涉及金额380.00万元，评价等级为良。</w:t>
      </w:r>
    </w:p>
    <w:p w14:paraId="710AB090">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填报绩效自评表项目30个，其中评价等级为优的项目有12个，评价等级为良的项目有18个。其中4个年中追加项目“机动经费”7.94万元、“搬家及开办经费”107.74万元、“机构运转经费（综合中心）”19.08万元及“机构运转经费（综合中心）”2万元，受疫情影响未执行；1个项目“机构运转经费”41.59万元、执行率4.66%，因本单位搬迁未使用完毕。</w:t>
      </w:r>
    </w:p>
    <w:p w14:paraId="4255B246">
      <w:pPr>
        <w:spacing w:line="600" w:lineRule="exact"/>
        <w:ind w:firstLine="640"/>
        <w:outlineLvl w:val="1"/>
        <w:rPr>
          <w:rFonts w:ascii="楷体" w:hAnsi="楷体" w:eastAsia="楷体" w:cs="楷体"/>
          <w:sz w:val="32"/>
          <w:szCs w:val="32"/>
        </w:rPr>
      </w:pPr>
      <w:bookmarkStart w:id="16" w:name="_Toc135208120"/>
      <w:r>
        <w:rPr>
          <w:rFonts w:hint="eastAsia" w:ascii="楷体" w:hAnsi="楷体" w:eastAsia="楷体" w:cs="楷体"/>
          <w:sz w:val="32"/>
          <w:szCs w:val="32"/>
        </w:rPr>
        <w:t>（四）结转结余率</w:t>
      </w:r>
      <w:bookmarkEnd w:id="16"/>
    </w:p>
    <w:p w14:paraId="2BDA9336">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全年预算支出6,804.55万元，决算支出6,123.02万元，全年结转681.53万元，结转结余率11.13%；基本支出预算4,623.41万元，决算支出4,234.88万无，年末结转388.53万元，结转结余率3.01%；项目支出预算2,181.15万元，决算支出1,888.14万元，结转结余率15.52%。</w:t>
      </w:r>
    </w:p>
    <w:p w14:paraId="74296765">
      <w:pPr>
        <w:spacing w:line="600" w:lineRule="exact"/>
        <w:ind w:firstLine="640"/>
        <w:outlineLvl w:val="1"/>
        <w:rPr>
          <w:rFonts w:ascii="楷体" w:hAnsi="楷体" w:eastAsia="楷体" w:cs="楷体"/>
          <w:sz w:val="32"/>
          <w:szCs w:val="32"/>
        </w:rPr>
      </w:pPr>
      <w:bookmarkStart w:id="17" w:name="_Toc135208121"/>
      <w:r>
        <w:rPr>
          <w:rFonts w:hint="eastAsia" w:ascii="楷体" w:hAnsi="楷体" w:eastAsia="楷体" w:cs="楷体"/>
          <w:sz w:val="32"/>
          <w:szCs w:val="32"/>
        </w:rPr>
        <w:t>（五）部门预决算差异率</w:t>
      </w:r>
      <w:bookmarkEnd w:id="17"/>
    </w:p>
    <w:p w14:paraId="582B6667">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全年预算支出6,804.55万元，决算支出6,123.02万元，全年预决算差异率-10.02%；基本支出预算4,623.41万元，决算支出4,234.88万元，预决算差异率-8.4%；项目支出预算2,181.15万元，决算支出1,888.14万元，预决算差异率-13.43%。</w:t>
      </w:r>
    </w:p>
    <w:p w14:paraId="25ACCCE9">
      <w:pPr>
        <w:spacing w:line="360" w:lineRule="auto"/>
        <w:ind w:firstLine="640"/>
        <w:outlineLvl w:val="0"/>
        <w:rPr>
          <w:rFonts w:ascii="黑体" w:hAnsi="黑体" w:eastAsia="黑体"/>
          <w:sz w:val="32"/>
          <w:szCs w:val="32"/>
        </w:rPr>
      </w:pPr>
      <w:bookmarkStart w:id="18" w:name="_Toc135208122"/>
      <w:r>
        <w:rPr>
          <w:rFonts w:hint="eastAsia" w:ascii="黑体" w:hAnsi="黑体" w:eastAsia="黑体"/>
          <w:sz w:val="32"/>
          <w:szCs w:val="32"/>
        </w:rPr>
        <w:t>五、总体</w:t>
      </w:r>
      <w:r>
        <w:rPr>
          <w:rFonts w:ascii="黑体" w:hAnsi="黑体" w:eastAsia="黑体"/>
          <w:sz w:val="32"/>
          <w:szCs w:val="32"/>
        </w:rPr>
        <w:t>评价结论</w:t>
      </w:r>
      <w:bookmarkEnd w:id="18"/>
    </w:p>
    <w:p w14:paraId="4E917756">
      <w:pPr>
        <w:spacing w:line="600" w:lineRule="exact"/>
        <w:ind w:firstLine="640"/>
        <w:outlineLvl w:val="1"/>
        <w:rPr>
          <w:rFonts w:ascii="楷体" w:hAnsi="楷体" w:eastAsia="楷体" w:cs="楷体"/>
          <w:sz w:val="32"/>
          <w:szCs w:val="32"/>
        </w:rPr>
      </w:pPr>
      <w:bookmarkStart w:id="19" w:name="_Toc135208123"/>
      <w:r>
        <w:rPr>
          <w:rFonts w:hint="eastAsia" w:ascii="楷体" w:hAnsi="楷体" w:eastAsia="楷体" w:cs="楷体"/>
          <w:sz w:val="32"/>
          <w:szCs w:val="32"/>
        </w:rPr>
        <w:t>（一）评价得分情况</w:t>
      </w:r>
      <w:bookmarkEnd w:id="19"/>
    </w:p>
    <w:p w14:paraId="07CE9DB3">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通过评价，北京市投资促进服务中心综合得分92.2分，绩效评定等级为“优”，具体评分情况：</w:t>
      </w:r>
    </w:p>
    <w:p w14:paraId="66592A2A">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当年预算执行情况。该指标分值20分，评价得分18分。部门资金足额到位，预算执行率89.98%。能够确保各项工作顺利开展，预算执行较到位，能按照预算管理相关制度执行。</w:t>
      </w:r>
    </w:p>
    <w:p w14:paraId="079EE3D6">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整体绩效目标实现情况。该指标分值60分，评价得分57分。其中：产出情况指标分值30分，评价得分28分；扣分点:产出进度指标31个，实际执行67个，扣2分；效果情况指标分值30分，评价得分29分，扣1分。立项程序规范，绩效目标明确且与相关政策、职能要求相符；绩效指标与绩效目标、预算匹配度较好；绩效指标基本全面、合理、完整；部门资金足额到位，能够确保各项工作顺利开展，扣分原因是效果指标未量化，满意度服务对象不全面。</w:t>
      </w:r>
    </w:p>
    <w:p w14:paraId="34625D85">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预算管理情况。该指标分值20分，评分得分17.2分。其中：财务管理评价得分4分，资产管理评价得分4分，绩效管理评价得分4分，结转结余率评价得分1.2分，预决算差异率评价得分4分。预算管理比较到位，基能够较好的按照预算管理相关制度执行，绩效及资产管理较规范。</w:t>
      </w:r>
    </w:p>
    <w:p w14:paraId="4FA3D286">
      <w:pPr>
        <w:spacing w:line="600" w:lineRule="exact"/>
        <w:ind w:firstLine="640"/>
        <w:outlineLvl w:val="1"/>
        <w:rPr>
          <w:rFonts w:ascii="楷体" w:hAnsi="楷体" w:eastAsia="楷体" w:cs="楷体"/>
          <w:sz w:val="32"/>
          <w:szCs w:val="32"/>
        </w:rPr>
      </w:pPr>
      <w:bookmarkStart w:id="20" w:name="_Toc135208124"/>
      <w:r>
        <w:rPr>
          <w:rFonts w:hint="eastAsia" w:ascii="楷体" w:hAnsi="楷体" w:eastAsia="楷体" w:cs="楷体"/>
          <w:sz w:val="32"/>
          <w:szCs w:val="32"/>
        </w:rPr>
        <w:t>（二）存在的问题及原因分析</w:t>
      </w:r>
      <w:bookmarkEnd w:id="20"/>
    </w:p>
    <w:p w14:paraId="34468D02">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1.预算编报需求前瞻性、预见性不足。</w:t>
      </w:r>
    </w:p>
    <w:p w14:paraId="0BEC847B">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为配合做好全市新冠疫情防控，对项目工作开展带有临时性和不确定性，因此给预算执行过程管理难度增大。2022年度核减8个项目，涉及资金347.46万元，核减幅度达13.84%。总体来说，预算编制前瞻性、预见性存在一定的不足，测算准确性、精细性尚待提高。</w:t>
      </w:r>
    </w:p>
    <w:p w14:paraId="3996DFD8">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2.满意度调查缺少支撑依据。</w:t>
      </w:r>
    </w:p>
    <w:p w14:paraId="268D4257">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满意度调查</w:t>
      </w:r>
      <w:bookmarkStart w:id="21" w:name="_Hlk103783627"/>
      <w:r>
        <w:rPr>
          <w:rFonts w:hint="eastAsia" w:ascii="仿宋_GB2312" w:hAnsi="仿宋_GB2312" w:eastAsia="仿宋_GB2312" w:cs="仿宋_GB2312"/>
          <w:sz w:val="32"/>
          <w:szCs w:val="32"/>
        </w:rPr>
        <w:t>对象界定不够准确、全面，个别项目未包括受服务企业及相关部门；且绩效目标未设置满意度指标值，也未设置服务对象调查问卷。</w:t>
      </w:r>
      <w:bookmarkEnd w:id="21"/>
    </w:p>
    <w:p w14:paraId="6345A193">
      <w:pPr>
        <w:spacing w:line="560" w:lineRule="exact"/>
        <w:ind w:firstLine="640"/>
        <w:outlineLvl w:val="1"/>
        <w:rPr>
          <w:rFonts w:ascii="楷体" w:hAnsi="楷体" w:eastAsia="楷体" w:cs="楷体"/>
          <w:sz w:val="32"/>
          <w:szCs w:val="32"/>
        </w:rPr>
      </w:pPr>
      <w:bookmarkStart w:id="22" w:name="_Toc135208125"/>
      <w:r>
        <w:rPr>
          <w:rFonts w:hint="eastAsia" w:ascii="楷体" w:hAnsi="楷体" w:eastAsia="楷体" w:cs="楷体"/>
          <w:sz w:val="32"/>
          <w:szCs w:val="32"/>
        </w:rPr>
        <w:t>（三）相关建议</w:t>
      </w:r>
      <w:bookmarkEnd w:id="22"/>
    </w:p>
    <w:p w14:paraId="140A3DE1">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1.预算管理有待进一步完善。加强支出预算分析，增强对各项经济活动的预判能力，提高预算编制的科学性。</w:t>
      </w:r>
    </w:p>
    <w:p w14:paraId="3B413E49">
      <w:pPr>
        <w:spacing w:line="560" w:lineRule="exact"/>
        <w:ind w:firstLine="518" w:firstLineChars="162"/>
        <w:rPr>
          <w:rFonts w:ascii="仿宋_GB2312" w:hAnsi="仿宋_GB2312" w:eastAsia="仿宋_GB2312" w:cs="仿宋_GB2312"/>
          <w:sz w:val="32"/>
          <w:szCs w:val="32"/>
        </w:rPr>
      </w:pPr>
      <w:r>
        <w:rPr>
          <w:rFonts w:hint="eastAsia" w:ascii="仿宋_GB2312" w:hAnsi="仿宋_GB2312" w:eastAsia="仿宋_GB2312" w:cs="仿宋_GB2312"/>
          <w:sz w:val="32"/>
          <w:szCs w:val="32"/>
        </w:rPr>
        <w:t>2.加强满意度调查，提高财政资金投入有效性的显现度。</w:t>
      </w:r>
    </w:p>
    <w:p w14:paraId="04848999">
      <w:pPr>
        <w:spacing w:line="360" w:lineRule="auto"/>
        <w:ind w:firstLine="640"/>
        <w:outlineLvl w:val="0"/>
        <w:rPr>
          <w:rFonts w:ascii="仿宋_GB2312" w:hAnsi="宋体" w:eastAsia="仿宋_GB2312" w:cs="宋体"/>
          <w:color w:val="000000"/>
          <w:kern w:val="0"/>
          <w:sz w:val="32"/>
          <w:szCs w:val="32"/>
        </w:rPr>
      </w:pPr>
      <w:bookmarkStart w:id="23" w:name="_Toc135208126"/>
      <w:r>
        <w:rPr>
          <w:rFonts w:hint="eastAsia" w:ascii="黑体" w:hAnsi="黑体" w:eastAsia="黑体" w:cs="宋体"/>
          <w:color w:val="000000"/>
          <w:kern w:val="0"/>
          <w:sz w:val="32"/>
          <w:szCs w:val="32"/>
        </w:rPr>
        <w:t>六、措施建议</w:t>
      </w:r>
      <w:bookmarkEnd w:id="23"/>
    </w:p>
    <w:p w14:paraId="010D871F">
      <w:pPr>
        <w:spacing w:line="560" w:lineRule="exact"/>
        <w:ind w:firstLine="640"/>
        <w:rPr>
          <w:rFonts w:ascii="仿宋" w:hAnsi="仿宋" w:eastAsia="仿宋" w:cs="仿宋"/>
          <w:sz w:val="32"/>
          <w:szCs w:val="32"/>
        </w:rPr>
      </w:pPr>
      <w:r>
        <w:rPr>
          <w:rFonts w:hint="eastAsia" w:ascii="楷体" w:hAnsi="楷体" w:eastAsia="楷体" w:cs="楷体"/>
          <w:sz w:val="32"/>
          <w:szCs w:val="32"/>
        </w:rPr>
        <w:t>（一）加强预算管理意识，提高财政资金的使用效益</w:t>
      </w:r>
    </w:p>
    <w:p w14:paraId="1C095FA9">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在预算编制过程中，结合本单位的发展规划与目标，总结上一年度预算执行情况，合理编制当年预算，细化预算内容，明确测算依据，提升预算编制的科学性、规范性及准确性，减少预算追加、调剂。强化预算刚性约束，明确成本控制措施，有效控制成本支出，提高财政资金投入的经济性和效益性。</w:t>
      </w:r>
    </w:p>
    <w:p w14:paraId="502316C6">
      <w:pPr>
        <w:spacing w:line="600" w:lineRule="exact"/>
        <w:ind w:firstLine="640"/>
        <w:rPr>
          <w:rFonts w:ascii="楷体" w:hAnsi="楷体" w:eastAsia="楷体" w:cs="楷体"/>
          <w:sz w:val="32"/>
          <w:szCs w:val="32"/>
        </w:rPr>
      </w:pPr>
      <w:r>
        <w:rPr>
          <w:rFonts w:hint="eastAsia" w:ascii="楷体" w:hAnsi="楷体" w:eastAsia="楷体" w:cs="楷体"/>
          <w:sz w:val="32"/>
          <w:szCs w:val="32"/>
        </w:rPr>
        <w:t>（二）细化满意度调查指标</w:t>
      </w:r>
    </w:p>
    <w:p w14:paraId="7ADE6BB3">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一是设置服务对象满意度指标值；二是对服务对象履行满意度调查（回访）程序。</w:t>
      </w:r>
    </w:p>
    <w:p w14:paraId="7D8F08A2">
      <w:pPr>
        <w:spacing w:line="360" w:lineRule="auto"/>
        <w:ind w:firstLine="640"/>
        <w:outlineLvl w:val="0"/>
        <w:rPr>
          <w:rFonts w:ascii="仿宋_GB2312" w:hAnsi="仿宋_GB2312" w:eastAsia="仿宋_GB2312" w:cs="仿宋_GB2312"/>
          <w:sz w:val="32"/>
          <w:szCs w:val="32"/>
        </w:rPr>
      </w:pPr>
      <w:bookmarkStart w:id="24" w:name="_Toc135208127"/>
      <w:r>
        <w:rPr>
          <w:rFonts w:hint="eastAsia" w:ascii="黑体" w:hAnsi="黑体" w:eastAsia="黑体" w:cs="宋体"/>
          <w:color w:val="000000"/>
          <w:kern w:val="0"/>
          <w:sz w:val="32"/>
          <w:szCs w:val="32"/>
        </w:rPr>
        <w:t>七、附件</w:t>
      </w:r>
      <w:bookmarkEnd w:id="24"/>
    </w:p>
    <w:p w14:paraId="6753F65F">
      <w:pPr>
        <w:spacing w:line="600" w:lineRule="exact"/>
        <w:ind w:firstLine="640"/>
        <w:rPr>
          <w:rFonts w:ascii="宋体" w:hAnsi="宋体" w:cs="宋体"/>
          <w:b w:val="0"/>
          <w:kern w:val="0"/>
          <w:sz w:val="28"/>
          <w:szCs w:val="28"/>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r>
        <w:rPr>
          <w:rFonts w:hint="eastAsia" w:ascii="仿宋_GB2312" w:hAnsi="仿宋_GB2312" w:eastAsia="仿宋_GB2312" w:cs="仿宋_GB2312"/>
          <w:sz w:val="32"/>
          <w:szCs w:val="32"/>
        </w:rPr>
        <w:t>附件1：2022年度部门整体支出指标体系及评分情况表</w:t>
      </w:r>
      <w:r>
        <w:rPr>
          <w:rFonts w:hint="eastAsia" w:ascii="宋体" w:hAnsi="宋体" w:cs="宋体"/>
          <w:b w:val="0"/>
          <w:kern w:val="0"/>
          <w:sz w:val="28"/>
          <w:szCs w:val="28"/>
        </w:rPr>
        <w:br w:type="page"/>
      </w:r>
    </w:p>
    <w:p w14:paraId="0EDD55F0">
      <w:pPr>
        <w:spacing w:line="600" w:lineRule="exact"/>
        <w:ind w:firstLine="0" w:firstLineChars="0"/>
        <w:rPr>
          <w:rFonts w:ascii="Arial Narrow" w:hAnsi="Arial Narrow"/>
          <w:sz w:val="20"/>
          <w:szCs w:val="18"/>
        </w:rPr>
      </w:pPr>
      <w:r>
        <w:rPr>
          <w:rFonts w:hint="eastAsia" w:ascii="仿宋" w:hAnsi="仿宋" w:eastAsia="仿宋" w:cs="仿宋"/>
          <w:sz w:val="32"/>
          <w:szCs w:val="32"/>
        </w:rPr>
        <w:t>附件1：2022年度部门整体支出指标体系及评分情况表</w:t>
      </w:r>
    </w:p>
    <w:tbl>
      <w:tblPr>
        <w:tblStyle w:val="15"/>
        <w:tblW w:w="5000" w:type="pct"/>
        <w:tblInd w:w="0" w:type="dxa"/>
        <w:tblLayout w:type="fixed"/>
        <w:tblCellMar>
          <w:top w:w="0" w:type="dxa"/>
          <w:left w:w="108" w:type="dxa"/>
          <w:bottom w:w="0" w:type="dxa"/>
          <w:right w:w="108" w:type="dxa"/>
        </w:tblCellMar>
      </w:tblPr>
      <w:tblGrid>
        <w:gridCol w:w="811"/>
        <w:gridCol w:w="811"/>
        <w:gridCol w:w="1196"/>
        <w:gridCol w:w="1366"/>
        <w:gridCol w:w="1392"/>
        <w:gridCol w:w="768"/>
        <w:gridCol w:w="805"/>
        <w:gridCol w:w="3938"/>
        <w:gridCol w:w="3087"/>
      </w:tblGrid>
      <w:tr w14:paraId="0910B233">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14:paraId="3E6E8520">
            <w:pPr>
              <w:widowControl/>
              <w:ind w:firstLine="800"/>
              <w:jc w:val="center"/>
              <w:rPr>
                <w:rFonts w:ascii="方正小标宋简体" w:hAnsi="黑体" w:eastAsia="方正小标宋简体" w:cs="宋体"/>
                <w:color w:val="000000"/>
                <w:kern w:val="0"/>
                <w:sz w:val="40"/>
                <w:szCs w:val="40"/>
              </w:rPr>
            </w:pPr>
            <w:bookmarkStart w:id="25" w:name="_Hlk105925532"/>
            <w:r>
              <w:rPr>
                <w:rFonts w:hint="eastAsia" w:ascii="方正小标宋简体" w:hAnsi="黑体" w:eastAsia="方正小标宋简体" w:cs="宋体"/>
                <w:color w:val="000000"/>
                <w:kern w:val="0"/>
                <w:sz w:val="40"/>
                <w:szCs w:val="40"/>
              </w:rPr>
              <w:t>2022年度部门整体绩效评价指标体系评分表</w:t>
            </w:r>
          </w:p>
        </w:tc>
      </w:tr>
      <w:tr w14:paraId="703D6ECA">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vAlign w:val="center"/>
          </w:tcPr>
          <w:p w14:paraId="097C6BCD">
            <w:pPr>
              <w:widowControl/>
              <w:ind w:firstLine="360"/>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14:paraId="543E06CD">
        <w:tblPrEx>
          <w:tblCellMar>
            <w:top w:w="0" w:type="dxa"/>
            <w:left w:w="108" w:type="dxa"/>
            <w:bottom w:w="0" w:type="dxa"/>
            <w:right w:w="108" w:type="dxa"/>
          </w:tblCellMar>
        </w:tblPrEx>
        <w:trPr>
          <w:trHeight w:val="660" w:hRule="atLeast"/>
        </w:trPr>
        <w:tc>
          <w:tcPr>
            <w:tcW w:w="286" w:type="pct"/>
            <w:tcBorders>
              <w:top w:val="single" w:color="auto" w:sz="4" w:space="0"/>
              <w:left w:val="single" w:color="auto" w:sz="4" w:space="0"/>
              <w:bottom w:val="single" w:color="auto" w:sz="4" w:space="0"/>
              <w:right w:val="single" w:color="auto" w:sz="4" w:space="0"/>
            </w:tcBorders>
            <w:vAlign w:val="center"/>
          </w:tcPr>
          <w:p w14:paraId="0D6A7AB3">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86" w:type="pct"/>
            <w:tcBorders>
              <w:top w:val="single" w:color="auto" w:sz="4" w:space="0"/>
              <w:left w:val="single" w:color="auto" w:sz="4" w:space="0"/>
              <w:bottom w:val="single" w:color="auto" w:sz="4" w:space="0"/>
              <w:right w:val="single" w:color="auto" w:sz="4" w:space="0"/>
            </w:tcBorders>
            <w:vAlign w:val="center"/>
          </w:tcPr>
          <w:p w14:paraId="7D5D8D21">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422" w:type="pct"/>
            <w:tcBorders>
              <w:top w:val="single" w:color="auto" w:sz="4" w:space="0"/>
              <w:left w:val="single" w:color="auto" w:sz="4" w:space="0"/>
              <w:bottom w:val="single" w:color="auto" w:sz="4" w:space="0"/>
              <w:right w:val="single" w:color="auto" w:sz="4" w:space="0"/>
            </w:tcBorders>
            <w:vAlign w:val="center"/>
          </w:tcPr>
          <w:p w14:paraId="04F1F9DD">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预算数</w:t>
            </w:r>
          </w:p>
          <w:p w14:paraId="644CBB7D">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482" w:type="pct"/>
            <w:tcBorders>
              <w:top w:val="single" w:color="auto" w:sz="4" w:space="0"/>
              <w:left w:val="single" w:color="auto" w:sz="4" w:space="0"/>
              <w:bottom w:val="single" w:color="auto" w:sz="4" w:space="0"/>
              <w:right w:val="single" w:color="auto" w:sz="4" w:space="0"/>
            </w:tcBorders>
            <w:vAlign w:val="center"/>
          </w:tcPr>
          <w:p w14:paraId="6D09BD09">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执行数</w:t>
            </w:r>
          </w:p>
          <w:p w14:paraId="5F5F0398">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489" w:type="pct"/>
            <w:tcBorders>
              <w:top w:val="single" w:color="auto" w:sz="4" w:space="0"/>
              <w:left w:val="single" w:color="auto" w:sz="4" w:space="0"/>
              <w:bottom w:val="single" w:color="auto" w:sz="4" w:space="0"/>
              <w:right w:val="single" w:color="auto" w:sz="4" w:space="0"/>
            </w:tcBorders>
            <w:vAlign w:val="center"/>
          </w:tcPr>
          <w:p w14:paraId="59FB290C">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71" w:type="pct"/>
            <w:tcBorders>
              <w:top w:val="single" w:color="auto" w:sz="4" w:space="0"/>
              <w:left w:val="single" w:color="auto" w:sz="4" w:space="0"/>
              <w:bottom w:val="single" w:color="auto" w:sz="4" w:space="0"/>
              <w:right w:val="single" w:color="auto" w:sz="4" w:space="0"/>
            </w:tcBorders>
            <w:vAlign w:val="center"/>
          </w:tcPr>
          <w:p w14:paraId="056FBCE2">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4" w:type="pct"/>
            <w:tcBorders>
              <w:top w:val="single" w:color="auto" w:sz="4" w:space="0"/>
              <w:left w:val="single" w:color="auto" w:sz="4" w:space="0"/>
              <w:bottom w:val="single" w:color="auto" w:sz="4" w:space="0"/>
              <w:right w:val="single" w:color="auto" w:sz="4" w:space="0"/>
            </w:tcBorders>
            <w:vAlign w:val="center"/>
          </w:tcPr>
          <w:p w14:paraId="7379A3DD">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89" w:type="pct"/>
            <w:tcBorders>
              <w:top w:val="single" w:color="auto" w:sz="4" w:space="0"/>
              <w:left w:val="single" w:color="auto" w:sz="4" w:space="0"/>
              <w:bottom w:val="single" w:color="auto" w:sz="4" w:space="0"/>
              <w:right w:val="single" w:color="auto" w:sz="4" w:space="0"/>
            </w:tcBorders>
            <w:vAlign w:val="center"/>
          </w:tcPr>
          <w:p w14:paraId="6A0F9571">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087" w:type="pct"/>
            <w:tcBorders>
              <w:top w:val="single" w:color="auto" w:sz="4" w:space="0"/>
              <w:left w:val="nil"/>
              <w:bottom w:val="single" w:color="auto" w:sz="4" w:space="0"/>
              <w:right w:val="single" w:color="auto" w:sz="4" w:space="0"/>
            </w:tcBorders>
            <w:vAlign w:val="center"/>
          </w:tcPr>
          <w:p w14:paraId="7F8AB40A">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14:paraId="401C6531">
        <w:tblPrEx>
          <w:tblCellMar>
            <w:top w:w="0" w:type="dxa"/>
            <w:left w:w="108" w:type="dxa"/>
            <w:bottom w:w="0" w:type="dxa"/>
            <w:right w:w="108" w:type="dxa"/>
          </w:tblCellMar>
        </w:tblPrEx>
        <w:trPr>
          <w:trHeight w:val="630" w:hRule="atLeast"/>
        </w:trPr>
        <w:tc>
          <w:tcPr>
            <w:tcW w:w="286" w:type="pct"/>
            <w:vMerge w:val="restart"/>
            <w:tcBorders>
              <w:top w:val="nil"/>
              <w:left w:val="single" w:color="auto" w:sz="4" w:space="0"/>
              <w:bottom w:val="single" w:color="000000" w:sz="4" w:space="0"/>
              <w:right w:val="single" w:color="auto" w:sz="4" w:space="0"/>
            </w:tcBorders>
            <w:vAlign w:val="center"/>
          </w:tcPr>
          <w:p w14:paraId="68FC0AB9">
            <w:pPr>
              <w:widowControl/>
              <w:adjustRightInd w:val="0"/>
              <w:snapToGrid w:val="0"/>
              <w:spacing w:line="240" w:lineRule="auto"/>
              <w:ind w:firstLine="0" w:firstLineChars="0"/>
              <w:jc w:val="left"/>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286" w:type="pct"/>
            <w:tcBorders>
              <w:top w:val="single" w:color="auto" w:sz="4" w:space="0"/>
              <w:left w:val="single" w:color="auto" w:sz="4" w:space="0"/>
              <w:bottom w:val="single" w:color="auto" w:sz="4" w:space="0"/>
              <w:right w:val="single" w:color="auto" w:sz="4" w:space="0"/>
            </w:tcBorders>
            <w:vAlign w:val="center"/>
          </w:tcPr>
          <w:p w14:paraId="213425A9">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422" w:type="pct"/>
            <w:tcBorders>
              <w:top w:val="single" w:color="auto" w:sz="4" w:space="0"/>
              <w:left w:val="single" w:color="auto" w:sz="4" w:space="0"/>
              <w:bottom w:val="single" w:color="auto" w:sz="4" w:space="0"/>
              <w:right w:val="single" w:color="auto" w:sz="4" w:space="0"/>
            </w:tcBorders>
            <w:vAlign w:val="center"/>
          </w:tcPr>
          <w:p w14:paraId="4C4C1A7D">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6,804.55</w:t>
            </w:r>
          </w:p>
        </w:tc>
        <w:tc>
          <w:tcPr>
            <w:tcW w:w="482" w:type="pct"/>
            <w:tcBorders>
              <w:top w:val="single" w:color="auto" w:sz="4" w:space="0"/>
              <w:left w:val="single" w:color="auto" w:sz="4" w:space="0"/>
              <w:bottom w:val="single" w:color="auto" w:sz="4" w:space="0"/>
              <w:right w:val="single" w:color="auto" w:sz="4" w:space="0"/>
            </w:tcBorders>
            <w:vAlign w:val="center"/>
          </w:tcPr>
          <w:p w14:paraId="091844B0">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6,123.02</w:t>
            </w:r>
          </w:p>
        </w:tc>
        <w:tc>
          <w:tcPr>
            <w:tcW w:w="489" w:type="pct"/>
            <w:tcBorders>
              <w:top w:val="single" w:color="auto" w:sz="4" w:space="0"/>
              <w:left w:val="single" w:color="auto" w:sz="4" w:space="0"/>
              <w:bottom w:val="single" w:color="auto" w:sz="4" w:space="0"/>
              <w:right w:val="single" w:color="auto" w:sz="4" w:space="0"/>
            </w:tcBorders>
            <w:vAlign w:val="center"/>
          </w:tcPr>
          <w:p w14:paraId="58A3BA21">
            <w:pPr>
              <w:widowControl/>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89.98%</w:t>
            </w:r>
          </w:p>
        </w:tc>
        <w:tc>
          <w:tcPr>
            <w:tcW w:w="271" w:type="pct"/>
            <w:vMerge w:val="restart"/>
            <w:tcBorders>
              <w:top w:val="single" w:color="auto" w:sz="4" w:space="0"/>
              <w:left w:val="single" w:color="auto" w:sz="4" w:space="0"/>
              <w:bottom w:val="single" w:color="auto" w:sz="4" w:space="0"/>
              <w:right w:val="single" w:color="auto" w:sz="4" w:space="0"/>
            </w:tcBorders>
            <w:noWrap/>
            <w:vAlign w:val="center"/>
          </w:tcPr>
          <w:p w14:paraId="51583C5D">
            <w:pPr>
              <w:widowControl/>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84" w:type="pct"/>
            <w:vMerge w:val="restart"/>
            <w:tcBorders>
              <w:top w:val="single" w:color="auto" w:sz="4" w:space="0"/>
              <w:left w:val="single" w:color="auto" w:sz="4" w:space="0"/>
              <w:bottom w:val="single" w:color="auto" w:sz="4" w:space="0"/>
              <w:right w:val="single" w:color="auto" w:sz="4" w:space="0"/>
            </w:tcBorders>
            <w:noWrap/>
            <w:vAlign w:val="center"/>
          </w:tcPr>
          <w:p w14:paraId="712FFEC2">
            <w:pPr>
              <w:widowControl/>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389" w:type="pct"/>
            <w:vMerge w:val="restart"/>
            <w:tcBorders>
              <w:top w:val="single" w:color="auto" w:sz="4" w:space="0"/>
              <w:left w:val="single" w:color="auto" w:sz="4" w:space="0"/>
              <w:bottom w:val="single" w:color="auto" w:sz="4" w:space="0"/>
              <w:right w:val="single" w:color="auto" w:sz="4" w:space="0"/>
            </w:tcBorders>
            <w:vAlign w:val="center"/>
          </w:tcPr>
          <w:p w14:paraId="162142F9">
            <w:pPr>
              <w:widowControl/>
              <w:ind w:firstLine="360"/>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087" w:type="pct"/>
            <w:vMerge w:val="restart"/>
            <w:tcBorders>
              <w:top w:val="nil"/>
              <w:left w:val="single" w:color="auto" w:sz="4" w:space="0"/>
              <w:bottom w:val="single" w:color="auto" w:sz="4" w:space="0"/>
              <w:right w:val="single" w:color="auto" w:sz="4" w:space="0"/>
            </w:tcBorders>
            <w:vAlign w:val="center"/>
          </w:tcPr>
          <w:p w14:paraId="58571A52">
            <w:pPr>
              <w:widowControl/>
              <w:adjustRightInd w:val="0"/>
              <w:snapToGrid w:val="0"/>
              <w:spacing w:line="240" w:lineRule="auto"/>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14:paraId="312E3556">
        <w:tblPrEx>
          <w:tblCellMar>
            <w:top w:w="0" w:type="dxa"/>
            <w:left w:w="108" w:type="dxa"/>
            <w:bottom w:w="0" w:type="dxa"/>
            <w:right w:w="108" w:type="dxa"/>
          </w:tblCellMar>
        </w:tblPrEx>
        <w:trPr>
          <w:trHeight w:val="600" w:hRule="atLeast"/>
        </w:trPr>
        <w:tc>
          <w:tcPr>
            <w:tcW w:w="286" w:type="pct"/>
            <w:vMerge w:val="continue"/>
            <w:tcBorders>
              <w:top w:val="nil"/>
              <w:left w:val="single" w:color="auto" w:sz="4" w:space="0"/>
              <w:bottom w:val="single" w:color="000000" w:sz="4" w:space="0"/>
              <w:right w:val="single" w:color="auto" w:sz="4" w:space="0"/>
            </w:tcBorders>
            <w:vAlign w:val="center"/>
          </w:tcPr>
          <w:p w14:paraId="5E7C0AAE">
            <w:pPr>
              <w:widowControl/>
              <w:adjustRightInd w:val="0"/>
              <w:snapToGrid w:val="0"/>
              <w:spacing w:line="240" w:lineRule="auto"/>
              <w:ind w:firstLine="400"/>
              <w:jc w:val="left"/>
              <w:rPr>
                <w:rFonts w:ascii="宋体" w:hAnsi="宋体" w:cs="宋体"/>
                <w:color w:val="000000"/>
                <w:kern w:val="0"/>
                <w:sz w:val="20"/>
                <w:szCs w:val="20"/>
              </w:rPr>
            </w:pPr>
          </w:p>
        </w:tc>
        <w:tc>
          <w:tcPr>
            <w:tcW w:w="286" w:type="pct"/>
            <w:tcBorders>
              <w:top w:val="single" w:color="auto" w:sz="4" w:space="0"/>
              <w:left w:val="single" w:color="auto" w:sz="4" w:space="0"/>
              <w:bottom w:val="single" w:color="auto" w:sz="4" w:space="0"/>
              <w:right w:val="nil"/>
            </w:tcBorders>
            <w:vAlign w:val="center"/>
          </w:tcPr>
          <w:p w14:paraId="66609C54">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422" w:type="pct"/>
            <w:tcBorders>
              <w:top w:val="single" w:color="auto" w:sz="4" w:space="0"/>
              <w:left w:val="single" w:color="auto" w:sz="4" w:space="0"/>
              <w:bottom w:val="single" w:color="auto" w:sz="4" w:space="0"/>
              <w:right w:val="single" w:color="auto" w:sz="4" w:space="0"/>
            </w:tcBorders>
            <w:vAlign w:val="center"/>
          </w:tcPr>
          <w:p w14:paraId="0C7F603B">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4,362.46</w:t>
            </w:r>
          </w:p>
        </w:tc>
        <w:tc>
          <w:tcPr>
            <w:tcW w:w="482" w:type="pct"/>
            <w:tcBorders>
              <w:top w:val="single" w:color="auto" w:sz="4" w:space="0"/>
              <w:left w:val="nil"/>
              <w:bottom w:val="single" w:color="auto" w:sz="4" w:space="0"/>
              <w:right w:val="single" w:color="auto" w:sz="4" w:space="0"/>
            </w:tcBorders>
            <w:vAlign w:val="center"/>
          </w:tcPr>
          <w:p w14:paraId="493CF1E2">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4,155.3</w:t>
            </w:r>
          </w:p>
        </w:tc>
        <w:tc>
          <w:tcPr>
            <w:tcW w:w="489" w:type="pct"/>
            <w:vMerge w:val="restart"/>
            <w:tcBorders>
              <w:top w:val="single" w:color="auto" w:sz="4" w:space="0"/>
              <w:left w:val="single" w:color="auto" w:sz="4" w:space="0"/>
              <w:bottom w:val="single" w:color="auto" w:sz="4" w:space="0"/>
              <w:right w:val="single" w:color="auto" w:sz="4" w:space="0"/>
            </w:tcBorders>
            <w:vAlign w:val="center"/>
          </w:tcPr>
          <w:p w14:paraId="1FF3E895">
            <w:pPr>
              <w:widowControl/>
              <w:ind w:firstLine="400"/>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71" w:type="pct"/>
            <w:vMerge w:val="continue"/>
            <w:tcBorders>
              <w:top w:val="single" w:color="auto" w:sz="4" w:space="0"/>
              <w:left w:val="single" w:color="auto" w:sz="4" w:space="0"/>
              <w:bottom w:val="single" w:color="auto" w:sz="4" w:space="0"/>
              <w:right w:val="single" w:color="auto" w:sz="4" w:space="0"/>
            </w:tcBorders>
            <w:vAlign w:val="center"/>
          </w:tcPr>
          <w:p w14:paraId="0C4C5ADB">
            <w:pPr>
              <w:widowControl/>
              <w:ind w:firstLine="400"/>
              <w:jc w:val="center"/>
              <w:rPr>
                <w:rFonts w:ascii="宋体" w:hAnsi="宋体" w:cs="宋体"/>
                <w:color w:val="000000"/>
                <w:kern w:val="0"/>
                <w:sz w:val="20"/>
                <w:szCs w:val="20"/>
              </w:rPr>
            </w:pPr>
          </w:p>
        </w:tc>
        <w:tc>
          <w:tcPr>
            <w:tcW w:w="284" w:type="pct"/>
            <w:vMerge w:val="continue"/>
            <w:tcBorders>
              <w:top w:val="single" w:color="auto" w:sz="4" w:space="0"/>
              <w:left w:val="nil"/>
              <w:bottom w:val="single" w:color="auto" w:sz="4" w:space="0"/>
              <w:right w:val="nil"/>
            </w:tcBorders>
            <w:vAlign w:val="center"/>
          </w:tcPr>
          <w:p w14:paraId="16B427FF">
            <w:pPr>
              <w:widowControl/>
              <w:ind w:firstLine="400"/>
              <w:jc w:val="center"/>
              <w:rPr>
                <w:rFonts w:ascii="宋体" w:hAnsi="宋体" w:cs="宋体"/>
                <w:color w:val="000000"/>
                <w:kern w:val="0"/>
                <w:sz w:val="20"/>
                <w:szCs w:val="20"/>
              </w:rPr>
            </w:pPr>
          </w:p>
        </w:tc>
        <w:tc>
          <w:tcPr>
            <w:tcW w:w="1389" w:type="pct"/>
            <w:vMerge w:val="continue"/>
            <w:tcBorders>
              <w:top w:val="single" w:color="auto" w:sz="4" w:space="0"/>
              <w:left w:val="single" w:color="auto" w:sz="4" w:space="0"/>
              <w:bottom w:val="single" w:color="auto" w:sz="4" w:space="0"/>
              <w:right w:val="single" w:color="auto" w:sz="4" w:space="0"/>
            </w:tcBorders>
            <w:vAlign w:val="center"/>
          </w:tcPr>
          <w:p w14:paraId="713BA211">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14:paraId="7E9C84D5">
            <w:pPr>
              <w:widowControl/>
              <w:ind w:firstLine="360"/>
              <w:jc w:val="left"/>
              <w:rPr>
                <w:rFonts w:ascii="宋体" w:hAnsi="宋体" w:cs="宋体"/>
                <w:color w:val="000000"/>
                <w:kern w:val="0"/>
                <w:sz w:val="18"/>
                <w:szCs w:val="18"/>
              </w:rPr>
            </w:pPr>
          </w:p>
        </w:tc>
      </w:tr>
      <w:tr w14:paraId="64078E59">
        <w:tblPrEx>
          <w:tblCellMar>
            <w:top w:w="0" w:type="dxa"/>
            <w:left w:w="108" w:type="dxa"/>
            <w:bottom w:w="0" w:type="dxa"/>
            <w:right w:w="108" w:type="dxa"/>
          </w:tblCellMar>
        </w:tblPrEx>
        <w:trPr>
          <w:trHeight w:val="615" w:hRule="atLeast"/>
        </w:trPr>
        <w:tc>
          <w:tcPr>
            <w:tcW w:w="286" w:type="pct"/>
            <w:vMerge w:val="continue"/>
            <w:tcBorders>
              <w:top w:val="nil"/>
              <w:left w:val="single" w:color="auto" w:sz="4" w:space="0"/>
              <w:bottom w:val="single" w:color="000000" w:sz="4" w:space="0"/>
              <w:right w:val="single" w:color="auto" w:sz="4" w:space="0"/>
            </w:tcBorders>
            <w:vAlign w:val="center"/>
          </w:tcPr>
          <w:p w14:paraId="0DA8846C">
            <w:pPr>
              <w:widowControl/>
              <w:adjustRightInd w:val="0"/>
              <w:snapToGrid w:val="0"/>
              <w:spacing w:line="240" w:lineRule="auto"/>
              <w:ind w:firstLine="400"/>
              <w:jc w:val="left"/>
              <w:rPr>
                <w:rFonts w:ascii="宋体" w:hAnsi="宋体" w:cs="宋体"/>
                <w:color w:val="000000"/>
                <w:kern w:val="0"/>
                <w:sz w:val="20"/>
                <w:szCs w:val="20"/>
              </w:rPr>
            </w:pPr>
          </w:p>
        </w:tc>
        <w:tc>
          <w:tcPr>
            <w:tcW w:w="286" w:type="pct"/>
            <w:tcBorders>
              <w:top w:val="single" w:color="auto" w:sz="4" w:space="0"/>
              <w:left w:val="single" w:color="auto" w:sz="4" w:space="0"/>
              <w:bottom w:val="single" w:color="auto" w:sz="4" w:space="0"/>
              <w:right w:val="nil"/>
            </w:tcBorders>
            <w:vAlign w:val="center"/>
          </w:tcPr>
          <w:p w14:paraId="02D6EE35">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422" w:type="pct"/>
            <w:tcBorders>
              <w:top w:val="single" w:color="auto" w:sz="4" w:space="0"/>
              <w:left w:val="single" w:color="auto" w:sz="4" w:space="0"/>
              <w:bottom w:val="single" w:color="auto" w:sz="4" w:space="0"/>
              <w:right w:val="single" w:color="auto" w:sz="4" w:space="0"/>
            </w:tcBorders>
            <w:vAlign w:val="center"/>
          </w:tcPr>
          <w:p w14:paraId="174599A8">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2,611.26</w:t>
            </w:r>
          </w:p>
        </w:tc>
        <w:tc>
          <w:tcPr>
            <w:tcW w:w="482" w:type="pct"/>
            <w:tcBorders>
              <w:top w:val="single" w:color="auto" w:sz="4" w:space="0"/>
              <w:left w:val="nil"/>
              <w:bottom w:val="single" w:color="auto" w:sz="4" w:space="0"/>
              <w:right w:val="single" w:color="auto" w:sz="4" w:space="0"/>
            </w:tcBorders>
            <w:vAlign w:val="center"/>
          </w:tcPr>
          <w:p w14:paraId="24B927D2">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2,518.95</w:t>
            </w:r>
          </w:p>
        </w:tc>
        <w:tc>
          <w:tcPr>
            <w:tcW w:w="489" w:type="pct"/>
            <w:vMerge w:val="continue"/>
            <w:tcBorders>
              <w:top w:val="single" w:color="auto" w:sz="4" w:space="0"/>
              <w:left w:val="single" w:color="auto" w:sz="4" w:space="0"/>
              <w:bottom w:val="single" w:color="auto" w:sz="4" w:space="0"/>
              <w:right w:val="single" w:color="auto" w:sz="4" w:space="0"/>
            </w:tcBorders>
            <w:vAlign w:val="center"/>
          </w:tcPr>
          <w:p w14:paraId="5947D3A4">
            <w:pPr>
              <w:widowControl/>
              <w:ind w:firstLine="400"/>
              <w:jc w:val="left"/>
              <w:rPr>
                <w:rFonts w:ascii="宋体" w:hAnsi="宋体" w:cs="宋体"/>
                <w:color w:val="000000"/>
                <w:kern w:val="0"/>
                <w:sz w:val="20"/>
                <w:szCs w:val="20"/>
              </w:rPr>
            </w:pPr>
          </w:p>
        </w:tc>
        <w:tc>
          <w:tcPr>
            <w:tcW w:w="271" w:type="pct"/>
            <w:vMerge w:val="continue"/>
            <w:tcBorders>
              <w:top w:val="single" w:color="auto" w:sz="4" w:space="0"/>
              <w:left w:val="single" w:color="auto" w:sz="4" w:space="0"/>
              <w:bottom w:val="single" w:color="auto" w:sz="4" w:space="0"/>
              <w:right w:val="single" w:color="auto" w:sz="4" w:space="0"/>
            </w:tcBorders>
            <w:vAlign w:val="center"/>
          </w:tcPr>
          <w:p w14:paraId="52813A28">
            <w:pPr>
              <w:widowControl/>
              <w:ind w:firstLine="400"/>
              <w:jc w:val="center"/>
              <w:rPr>
                <w:rFonts w:ascii="宋体" w:hAnsi="宋体" w:cs="宋体"/>
                <w:color w:val="000000"/>
                <w:kern w:val="0"/>
                <w:sz w:val="20"/>
                <w:szCs w:val="20"/>
              </w:rPr>
            </w:pPr>
          </w:p>
        </w:tc>
        <w:tc>
          <w:tcPr>
            <w:tcW w:w="284" w:type="pct"/>
            <w:vMerge w:val="continue"/>
            <w:tcBorders>
              <w:top w:val="single" w:color="auto" w:sz="4" w:space="0"/>
              <w:left w:val="nil"/>
              <w:bottom w:val="single" w:color="auto" w:sz="4" w:space="0"/>
              <w:right w:val="nil"/>
            </w:tcBorders>
            <w:vAlign w:val="center"/>
          </w:tcPr>
          <w:p w14:paraId="6E7C45AD">
            <w:pPr>
              <w:widowControl/>
              <w:ind w:firstLine="400"/>
              <w:jc w:val="center"/>
              <w:rPr>
                <w:rFonts w:ascii="宋体" w:hAnsi="宋体" w:cs="宋体"/>
                <w:color w:val="000000"/>
                <w:kern w:val="0"/>
                <w:sz w:val="20"/>
                <w:szCs w:val="20"/>
              </w:rPr>
            </w:pPr>
          </w:p>
        </w:tc>
        <w:tc>
          <w:tcPr>
            <w:tcW w:w="1389" w:type="pct"/>
            <w:vMerge w:val="continue"/>
            <w:tcBorders>
              <w:top w:val="single" w:color="auto" w:sz="4" w:space="0"/>
              <w:left w:val="single" w:color="auto" w:sz="4" w:space="0"/>
              <w:bottom w:val="single" w:color="auto" w:sz="4" w:space="0"/>
              <w:right w:val="single" w:color="auto" w:sz="4" w:space="0"/>
            </w:tcBorders>
            <w:vAlign w:val="center"/>
          </w:tcPr>
          <w:p w14:paraId="07098EA7">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14:paraId="3B383E64">
            <w:pPr>
              <w:widowControl/>
              <w:ind w:firstLine="360"/>
              <w:jc w:val="left"/>
              <w:rPr>
                <w:rFonts w:ascii="宋体" w:hAnsi="宋体" w:cs="宋体"/>
                <w:color w:val="000000"/>
                <w:kern w:val="0"/>
                <w:sz w:val="18"/>
                <w:szCs w:val="18"/>
              </w:rPr>
            </w:pPr>
          </w:p>
        </w:tc>
      </w:tr>
      <w:tr w14:paraId="77C7CC3F">
        <w:tblPrEx>
          <w:tblCellMar>
            <w:top w:w="0" w:type="dxa"/>
            <w:left w:w="108" w:type="dxa"/>
            <w:bottom w:w="0" w:type="dxa"/>
            <w:right w:w="108" w:type="dxa"/>
          </w:tblCellMar>
        </w:tblPrEx>
        <w:trPr>
          <w:trHeight w:val="842" w:hRule="atLeast"/>
        </w:trPr>
        <w:tc>
          <w:tcPr>
            <w:tcW w:w="286" w:type="pct"/>
            <w:vMerge w:val="continue"/>
            <w:tcBorders>
              <w:top w:val="nil"/>
              <w:left w:val="single" w:color="auto" w:sz="4" w:space="0"/>
              <w:bottom w:val="single" w:color="000000" w:sz="4" w:space="0"/>
              <w:right w:val="single" w:color="auto" w:sz="4" w:space="0"/>
            </w:tcBorders>
            <w:vAlign w:val="center"/>
          </w:tcPr>
          <w:p w14:paraId="1AA2E0F1">
            <w:pPr>
              <w:widowControl/>
              <w:adjustRightInd w:val="0"/>
              <w:snapToGrid w:val="0"/>
              <w:spacing w:line="240" w:lineRule="auto"/>
              <w:ind w:firstLine="400"/>
              <w:jc w:val="left"/>
              <w:rPr>
                <w:rFonts w:ascii="宋体" w:hAnsi="宋体" w:cs="宋体"/>
                <w:color w:val="000000"/>
                <w:kern w:val="0"/>
                <w:sz w:val="20"/>
                <w:szCs w:val="20"/>
              </w:rPr>
            </w:pPr>
          </w:p>
        </w:tc>
        <w:tc>
          <w:tcPr>
            <w:tcW w:w="286" w:type="pct"/>
            <w:tcBorders>
              <w:top w:val="single" w:color="auto" w:sz="4" w:space="0"/>
              <w:left w:val="single" w:color="auto" w:sz="4" w:space="0"/>
              <w:bottom w:val="single" w:color="auto" w:sz="4" w:space="0"/>
              <w:right w:val="single" w:color="auto" w:sz="4" w:space="0"/>
            </w:tcBorders>
            <w:vAlign w:val="center"/>
          </w:tcPr>
          <w:p w14:paraId="7814EE9E">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422" w:type="pct"/>
            <w:tcBorders>
              <w:top w:val="single" w:color="auto" w:sz="4" w:space="0"/>
              <w:left w:val="nil"/>
              <w:bottom w:val="single" w:color="auto" w:sz="4" w:space="0"/>
              <w:right w:val="single" w:color="auto" w:sz="4" w:space="0"/>
            </w:tcBorders>
            <w:vAlign w:val="center"/>
          </w:tcPr>
          <w:p w14:paraId="09610ABF">
            <w:pPr>
              <w:widowControl/>
              <w:adjustRightInd w:val="0"/>
              <w:snapToGrid w:val="0"/>
              <w:spacing w:line="240" w:lineRule="auto"/>
              <w:ind w:firstLine="0" w:firstLineChars="0"/>
              <w:jc w:val="center"/>
              <w:rPr>
                <w:rFonts w:ascii="宋体" w:hAnsi="宋体" w:cs="宋体"/>
                <w:color w:val="000000"/>
                <w:kern w:val="0"/>
                <w:sz w:val="20"/>
                <w:szCs w:val="20"/>
              </w:rPr>
            </w:pPr>
          </w:p>
        </w:tc>
        <w:tc>
          <w:tcPr>
            <w:tcW w:w="482" w:type="pct"/>
            <w:tcBorders>
              <w:top w:val="single" w:color="auto" w:sz="4" w:space="0"/>
              <w:left w:val="nil"/>
              <w:bottom w:val="single" w:color="auto" w:sz="4" w:space="0"/>
              <w:right w:val="single" w:color="auto" w:sz="4" w:space="0"/>
            </w:tcBorders>
            <w:vAlign w:val="center"/>
          </w:tcPr>
          <w:p w14:paraId="6C5A6EED">
            <w:pPr>
              <w:widowControl/>
              <w:adjustRightInd w:val="0"/>
              <w:snapToGrid w:val="0"/>
              <w:spacing w:line="240" w:lineRule="auto"/>
              <w:ind w:firstLine="0" w:firstLineChars="0"/>
              <w:jc w:val="center"/>
              <w:rPr>
                <w:rFonts w:ascii="宋体" w:hAnsi="宋体" w:cs="宋体"/>
                <w:color w:val="000000"/>
                <w:kern w:val="0"/>
                <w:sz w:val="20"/>
                <w:szCs w:val="20"/>
              </w:rPr>
            </w:pPr>
          </w:p>
        </w:tc>
        <w:tc>
          <w:tcPr>
            <w:tcW w:w="489" w:type="pct"/>
            <w:vMerge w:val="continue"/>
            <w:tcBorders>
              <w:top w:val="single" w:color="auto" w:sz="4" w:space="0"/>
              <w:left w:val="single" w:color="auto" w:sz="4" w:space="0"/>
              <w:bottom w:val="single" w:color="auto" w:sz="4" w:space="0"/>
              <w:right w:val="single" w:color="auto" w:sz="4" w:space="0"/>
            </w:tcBorders>
            <w:vAlign w:val="center"/>
          </w:tcPr>
          <w:p w14:paraId="64A1A2D0">
            <w:pPr>
              <w:widowControl/>
              <w:ind w:firstLine="400"/>
              <w:jc w:val="left"/>
              <w:rPr>
                <w:rFonts w:ascii="宋体" w:hAnsi="宋体" w:cs="宋体"/>
                <w:color w:val="000000"/>
                <w:kern w:val="0"/>
                <w:sz w:val="20"/>
                <w:szCs w:val="20"/>
              </w:rPr>
            </w:pPr>
          </w:p>
        </w:tc>
        <w:tc>
          <w:tcPr>
            <w:tcW w:w="271" w:type="pct"/>
            <w:vMerge w:val="continue"/>
            <w:tcBorders>
              <w:top w:val="single" w:color="auto" w:sz="4" w:space="0"/>
              <w:left w:val="single" w:color="auto" w:sz="4" w:space="0"/>
              <w:bottom w:val="single" w:color="auto" w:sz="4" w:space="0"/>
              <w:right w:val="single" w:color="auto" w:sz="4" w:space="0"/>
            </w:tcBorders>
            <w:vAlign w:val="center"/>
          </w:tcPr>
          <w:p w14:paraId="4C7AE9E6">
            <w:pPr>
              <w:widowControl/>
              <w:ind w:firstLine="400"/>
              <w:jc w:val="center"/>
              <w:rPr>
                <w:rFonts w:ascii="宋体" w:hAnsi="宋体" w:cs="宋体"/>
                <w:color w:val="000000"/>
                <w:kern w:val="0"/>
                <w:sz w:val="20"/>
                <w:szCs w:val="20"/>
              </w:rPr>
            </w:pPr>
          </w:p>
        </w:tc>
        <w:tc>
          <w:tcPr>
            <w:tcW w:w="284" w:type="pct"/>
            <w:vMerge w:val="continue"/>
            <w:tcBorders>
              <w:top w:val="single" w:color="auto" w:sz="4" w:space="0"/>
              <w:left w:val="nil"/>
              <w:bottom w:val="single" w:color="auto" w:sz="4" w:space="0"/>
              <w:right w:val="nil"/>
            </w:tcBorders>
            <w:vAlign w:val="center"/>
          </w:tcPr>
          <w:p w14:paraId="1F399183">
            <w:pPr>
              <w:widowControl/>
              <w:ind w:firstLine="400"/>
              <w:jc w:val="center"/>
              <w:rPr>
                <w:rFonts w:ascii="宋体" w:hAnsi="宋体" w:cs="宋体"/>
                <w:color w:val="000000"/>
                <w:kern w:val="0"/>
                <w:sz w:val="20"/>
                <w:szCs w:val="20"/>
              </w:rPr>
            </w:pPr>
          </w:p>
        </w:tc>
        <w:tc>
          <w:tcPr>
            <w:tcW w:w="1389" w:type="pct"/>
            <w:vMerge w:val="continue"/>
            <w:tcBorders>
              <w:top w:val="single" w:color="auto" w:sz="4" w:space="0"/>
              <w:left w:val="single" w:color="auto" w:sz="4" w:space="0"/>
              <w:bottom w:val="single" w:color="auto" w:sz="4" w:space="0"/>
              <w:right w:val="single" w:color="auto" w:sz="4" w:space="0"/>
            </w:tcBorders>
            <w:vAlign w:val="center"/>
          </w:tcPr>
          <w:p w14:paraId="585DA7D5">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14:paraId="6BD93AF8">
            <w:pPr>
              <w:widowControl/>
              <w:ind w:firstLine="360"/>
              <w:jc w:val="left"/>
              <w:rPr>
                <w:rFonts w:ascii="宋体" w:hAnsi="宋体" w:cs="宋体"/>
                <w:color w:val="000000"/>
                <w:kern w:val="0"/>
                <w:sz w:val="18"/>
                <w:szCs w:val="18"/>
              </w:rPr>
            </w:pPr>
          </w:p>
        </w:tc>
      </w:tr>
      <w:tr w14:paraId="5D2D234A">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vAlign w:val="center"/>
          </w:tcPr>
          <w:p w14:paraId="4C524BD5">
            <w:pPr>
              <w:widowControl/>
              <w:ind w:firstLine="360"/>
              <w:jc w:val="center"/>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14:paraId="4300A52C">
        <w:tblPrEx>
          <w:tblCellMar>
            <w:top w:w="0" w:type="dxa"/>
            <w:left w:w="108" w:type="dxa"/>
            <w:bottom w:w="0" w:type="dxa"/>
            <w:right w:w="108" w:type="dxa"/>
          </w:tblCellMar>
        </w:tblPrEx>
        <w:trPr>
          <w:trHeight w:val="499" w:hRule="atLeast"/>
        </w:trPr>
        <w:tc>
          <w:tcPr>
            <w:tcW w:w="286" w:type="pct"/>
            <w:tcBorders>
              <w:top w:val="single" w:color="auto" w:sz="4" w:space="0"/>
              <w:left w:val="single" w:color="auto" w:sz="4" w:space="0"/>
              <w:bottom w:val="single" w:color="auto" w:sz="4" w:space="0"/>
              <w:right w:val="single" w:color="auto" w:sz="4" w:space="0"/>
            </w:tcBorders>
            <w:vAlign w:val="center"/>
          </w:tcPr>
          <w:p w14:paraId="6B8DADA8">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86" w:type="pct"/>
            <w:tcBorders>
              <w:top w:val="single" w:color="auto" w:sz="4" w:space="0"/>
              <w:left w:val="nil"/>
              <w:bottom w:val="single" w:color="auto" w:sz="4" w:space="0"/>
              <w:right w:val="single" w:color="auto" w:sz="4" w:space="0"/>
            </w:tcBorders>
            <w:vAlign w:val="center"/>
          </w:tcPr>
          <w:p w14:paraId="4024FA36">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22" w:type="pct"/>
            <w:tcBorders>
              <w:top w:val="single" w:color="auto" w:sz="4" w:space="0"/>
              <w:left w:val="nil"/>
              <w:bottom w:val="single" w:color="auto" w:sz="4" w:space="0"/>
              <w:right w:val="single" w:color="auto" w:sz="4" w:space="0"/>
            </w:tcBorders>
            <w:vAlign w:val="center"/>
          </w:tcPr>
          <w:p w14:paraId="25F9E90E">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82" w:type="pct"/>
            <w:tcBorders>
              <w:top w:val="single" w:color="auto" w:sz="4" w:space="0"/>
              <w:left w:val="nil"/>
              <w:bottom w:val="single" w:color="auto" w:sz="4" w:space="0"/>
              <w:right w:val="single" w:color="auto" w:sz="4" w:space="0"/>
            </w:tcBorders>
            <w:vAlign w:val="center"/>
          </w:tcPr>
          <w:p w14:paraId="72525718">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489" w:type="pct"/>
            <w:tcBorders>
              <w:top w:val="single" w:color="auto" w:sz="4" w:space="0"/>
              <w:left w:val="nil"/>
              <w:bottom w:val="single" w:color="auto" w:sz="4" w:space="0"/>
              <w:right w:val="single" w:color="auto" w:sz="4" w:space="0"/>
            </w:tcBorders>
            <w:vAlign w:val="center"/>
          </w:tcPr>
          <w:p w14:paraId="0D2F169A">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271" w:type="pct"/>
            <w:tcBorders>
              <w:top w:val="single" w:color="auto" w:sz="4" w:space="0"/>
              <w:left w:val="nil"/>
              <w:bottom w:val="single" w:color="auto" w:sz="4" w:space="0"/>
              <w:right w:val="single" w:color="auto" w:sz="4" w:space="0"/>
            </w:tcBorders>
            <w:vAlign w:val="center"/>
          </w:tcPr>
          <w:p w14:paraId="2637FB76">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4" w:type="pct"/>
            <w:tcBorders>
              <w:top w:val="single" w:color="auto" w:sz="4" w:space="0"/>
              <w:left w:val="nil"/>
              <w:bottom w:val="single" w:color="auto" w:sz="4" w:space="0"/>
              <w:right w:val="nil"/>
            </w:tcBorders>
            <w:vAlign w:val="center"/>
          </w:tcPr>
          <w:p w14:paraId="4E1A0163">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89" w:type="pct"/>
            <w:tcBorders>
              <w:top w:val="single" w:color="auto" w:sz="4" w:space="0"/>
              <w:left w:val="single" w:color="auto" w:sz="4" w:space="0"/>
              <w:bottom w:val="single" w:color="auto" w:sz="4" w:space="0"/>
              <w:right w:val="single" w:color="auto" w:sz="4" w:space="0"/>
            </w:tcBorders>
            <w:vAlign w:val="center"/>
          </w:tcPr>
          <w:p w14:paraId="1A67EEFD">
            <w:pPr>
              <w:widowControl/>
              <w:adjustRightInd w:val="0"/>
              <w:snapToGrid w:val="0"/>
              <w:spacing w:line="240" w:lineRule="auto"/>
              <w:ind w:firstLine="360"/>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87" w:type="pct"/>
            <w:tcBorders>
              <w:top w:val="single" w:color="auto" w:sz="4" w:space="0"/>
              <w:left w:val="single" w:color="auto" w:sz="4" w:space="0"/>
              <w:bottom w:val="single" w:color="auto" w:sz="4" w:space="0"/>
              <w:right w:val="single" w:color="auto" w:sz="4" w:space="0"/>
            </w:tcBorders>
            <w:vAlign w:val="center"/>
          </w:tcPr>
          <w:p w14:paraId="4EDEC895">
            <w:pPr>
              <w:widowControl/>
              <w:adjustRightInd w:val="0"/>
              <w:snapToGrid w:val="0"/>
              <w:spacing w:line="240" w:lineRule="auto"/>
              <w:ind w:firstLine="360"/>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59B1A7B9">
        <w:tblPrEx>
          <w:tblCellMar>
            <w:top w:w="0" w:type="dxa"/>
            <w:left w:w="108" w:type="dxa"/>
            <w:bottom w:w="0" w:type="dxa"/>
            <w:right w:w="108" w:type="dxa"/>
          </w:tblCellMar>
        </w:tblPrEx>
        <w:trPr>
          <w:trHeight w:val="1196" w:hRule="atLeast"/>
        </w:trPr>
        <w:tc>
          <w:tcPr>
            <w:tcW w:w="286" w:type="pct"/>
            <w:vMerge w:val="restart"/>
            <w:tcBorders>
              <w:top w:val="single" w:color="auto" w:sz="4" w:space="0"/>
              <w:left w:val="single" w:color="auto" w:sz="4" w:space="0"/>
              <w:bottom w:val="single" w:color="auto" w:sz="4" w:space="0"/>
              <w:right w:val="single" w:color="auto" w:sz="4" w:space="0"/>
            </w:tcBorders>
            <w:vAlign w:val="center"/>
          </w:tcPr>
          <w:p w14:paraId="3DB099AB">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286" w:type="pct"/>
            <w:vMerge w:val="restart"/>
            <w:tcBorders>
              <w:top w:val="single" w:color="auto" w:sz="4" w:space="0"/>
              <w:left w:val="nil"/>
              <w:right w:val="single" w:color="auto" w:sz="4" w:space="0"/>
            </w:tcBorders>
            <w:vAlign w:val="center"/>
          </w:tcPr>
          <w:p w14:paraId="42CBDB94">
            <w:pPr>
              <w:widowControl/>
              <w:ind w:firstLine="400"/>
              <w:jc w:val="center"/>
              <w:rPr>
                <w:rFonts w:ascii="宋体" w:hAnsi="宋体" w:cs="宋体"/>
                <w:color w:val="000000"/>
                <w:kern w:val="0"/>
                <w:sz w:val="20"/>
                <w:szCs w:val="20"/>
              </w:rPr>
            </w:pPr>
          </w:p>
          <w:p w14:paraId="033910F5">
            <w:pPr>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产出（30）</w:t>
            </w:r>
          </w:p>
        </w:tc>
        <w:tc>
          <w:tcPr>
            <w:tcW w:w="422" w:type="pct"/>
            <w:tcBorders>
              <w:top w:val="single" w:color="auto" w:sz="4" w:space="0"/>
              <w:left w:val="nil"/>
              <w:bottom w:val="single" w:color="auto" w:sz="4" w:space="0"/>
              <w:right w:val="single" w:color="auto" w:sz="4" w:space="0"/>
            </w:tcBorders>
            <w:vAlign w:val="center"/>
          </w:tcPr>
          <w:p w14:paraId="3A87F65B">
            <w:pPr>
              <w:widowControl/>
              <w:ind w:firstLine="400"/>
              <w:jc w:val="center"/>
              <w:rPr>
                <w:rFonts w:ascii="宋体" w:hAnsi="宋体" w:cs="宋体"/>
                <w:color w:val="000000"/>
                <w:kern w:val="0"/>
                <w:sz w:val="20"/>
                <w:szCs w:val="20"/>
              </w:rPr>
            </w:pPr>
          </w:p>
          <w:p w14:paraId="21B5E37B">
            <w:pPr>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产出数量</w:t>
            </w:r>
          </w:p>
          <w:p w14:paraId="4C9E8706">
            <w:pPr>
              <w:ind w:firstLine="0" w:firstLineChars="0"/>
              <w:rPr>
                <w:rFonts w:ascii="宋体" w:hAnsi="宋体" w:cs="宋体"/>
                <w:color w:val="000000"/>
                <w:kern w:val="0"/>
                <w:sz w:val="20"/>
                <w:szCs w:val="20"/>
              </w:rPr>
            </w:pPr>
          </w:p>
        </w:tc>
        <w:tc>
          <w:tcPr>
            <w:tcW w:w="482" w:type="pct"/>
            <w:tcBorders>
              <w:top w:val="single" w:color="auto" w:sz="4" w:space="0"/>
              <w:left w:val="nil"/>
              <w:bottom w:val="single" w:color="auto" w:sz="4" w:space="0"/>
              <w:right w:val="single" w:color="auto" w:sz="4" w:space="0"/>
            </w:tcBorders>
            <w:vAlign w:val="center"/>
          </w:tcPr>
          <w:p w14:paraId="19F22D0F">
            <w:pPr>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实施了一级项目31个，设置产出数量指标</w:t>
            </w:r>
            <w:r>
              <w:rPr>
                <w:rFonts w:ascii="宋体" w:hAnsi="宋体" w:cs="宋体"/>
                <w:color w:val="000000"/>
                <w:kern w:val="0"/>
                <w:sz w:val="20"/>
                <w:szCs w:val="20"/>
              </w:rPr>
              <w:t>6</w:t>
            </w:r>
            <w:r>
              <w:rPr>
                <w:rFonts w:hint="eastAsia" w:ascii="宋体" w:hAnsi="宋体" w:cs="宋体"/>
                <w:color w:val="000000"/>
                <w:kern w:val="0"/>
                <w:sz w:val="20"/>
                <w:szCs w:val="20"/>
              </w:rPr>
              <w:t>3个。</w:t>
            </w:r>
          </w:p>
        </w:tc>
        <w:tc>
          <w:tcPr>
            <w:tcW w:w="489" w:type="pct"/>
            <w:tcBorders>
              <w:top w:val="single" w:color="auto" w:sz="4" w:space="0"/>
              <w:left w:val="nil"/>
              <w:bottom w:val="single" w:color="auto" w:sz="4" w:space="0"/>
              <w:right w:val="single" w:color="auto" w:sz="4" w:space="0"/>
            </w:tcBorders>
            <w:vAlign w:val="center"/>
          </w:tcPr>
          <w:p w14:paraId="5942B875">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完成一级项目31个，数量指标执行</w:t>
            </w:r>
            <w:r>
              <w:rPr>
                <w:rFonts w:ascii="宋体" w:hAnsi="宋体" w:cs="宋体"/>
                <w:color w:val="000000"/>
                <w:kern w:val="0"/>
                <w:sz w:val="20"/>
                <w:szCs w:val="20"/>
              </w:rPr>
              <w:t>6</w:t>
            </w:r>
            <w:r>
              <w:rPr>
                <w:rFonts w:hint="eastAsia" w:ascii="宋体" w:hAnsi="宋体" w:cs="宋体"/>
                <w:color w:val="000000"/>
                <w:kern w:val="0"/>
                <w:sz w:val="20"/>
                <w:szCs w:val="20"/>
              </w:rPr>
              <w:t>3个。　</w:t>
            </w:r>
          </w:p>
        </w:tc>
        <w:tc>
          <w:tcPr>
            <w:tcW w:w="271" w:type="pct"/>
            <w:tcBorders>
              <w:top w:val="single" w:color="auto" w:sz="4" w:space="0"/>
              <w:left w:val="nil"/>
              <w:bottom w:val="single" w:color="auto" w:sz="4" w:space="0"/>
              <w:right w:val="single" w:color="auto" w:sz="4" w:space="0"/>
            </w:tcBorders>
            <w:vAlign w:val="center"/>
          </w:tcPr>
          <w:p w14:paraId="532AD91D">
            <w:pPr>
              <w:widowControl/>
              <w:ind w:firstLine="400"/>
              <w:jc w:val="center"/>
              <w:rPr>
                <w:rFonts w:ascii="宋体" w:hAnsi="宋体" w:cs="宋体"/>
                <w:color w:val="000000"/>
                <w:kern w:val="0"/>
                <w:sz w:val="20"/>
                <w:szCs w:val="20"/>
              </w:rPr>
            </w:pPr>
          </w:p>
          <w:p w14:paraId="094704DE">
            <w:pPr>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284" w:type="pct"/>
            <w:tcBorders>
              <w:top w:val="single" w:color="auto" w:sz="4" w:space="0"/>
              <w:left w:val="nil"/>
              <w:bottom w:val="single" w:color="auto" w:sz="4" w:space="0"/>
              <w:right w:val="nil"/>
            </w:tcBorders>
            <w:vAlign w:val="center"/>
          </w:tcPr>
          <w:p w14:paraId="7C6F3153">
            <w:pPr>
              <w:widowControl/>
              <w:ind w:firstLine="400"/>
              <w:jc w:val="center"/>
              <w:rPr>
                <w:rFonts w:ascii="宋体" w:hAnsi="宋体" w:cs="宋体"/>
                <w:color w:val="000000"/>
                <w:kern w:val="0"/>
                <w:sz w:val="20"/>
                <w:szCs w:val="20"/>
              </w:rPr>
            </w:pPr>
          </w:p>
          <w:p w14:paraId="5F0ABB72">
            <w:pPr>
              <w:ind w:firstLineChars="100"/>
              <w:rPr>
                <w:rFonts w:ascii="宋体" w:hAnsi="宋体" w:cs="宋体"/>
                <w:color w:val="000000"/>
                <w:kern w:val="0"/>
                <w:sz w:val="20"/>
                <w:szCs w:val="20"/>
              </w:rPr>
            </w:pPr>
            <w:r>
              <w:rPr>
                <w:rFonts w:hint="eastAsia" w:ascii="宋体" w:hAnsi="宋体" w:cs="宋体"/>
                <w:color w:val="000000"/>
                <w:kern w:val="0"/>
                <w:sz w:val="20"/>
                <w:szCs w:val="20"/>
              </w:rPr>
              <w:t>8</w:t>
            </w:r>
          </w:p>
        </w:tc>
        <w:tc>
          <w:tcPr>
            <w:tcW w:w="1389" w:type="pct"/>
            <w:vMerge w:val="restart"/>
            <w:tcBorders>
              <w:top w:val="single" w:color="auto" w:sz="4" w:space="0"/>
              <w:left w:val="single" w:color="auto" w:sz="4" w:space="0"/>
              <w:bottom w:val="single" w:color="auto" w:sz="4" w:space="0"/>
              <w:right w:val="single" w:color="auto" w:sz="4" w:space="0"/>
            </w:tcBorders>
            <w:vAlign w:val="center"/>
          </w:tcPr>
          <w:p w14:paraId="74DBC8BE">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087" w:type="pct"/>
            <w:vMerge w:val="restart"/>
            <w:tcBorders>
              <w:top w:val="single" w:color="auto" w:sz="4" w:space="0"/>
              <w:left w:val="single" w:color="auto" w:sz="4" w:space="0"/>
              <w:bottom w:val="single" w:color="auto" w:sz="4" w:space="0"/>
              <w:right w:val="single" w:color="auto" w:sz="4" w:space="0"/>
            </w:tcBorders>
            <w:vAlign w:val="center"/>
          </w:tcPr>
          <w:p w14:paraId="1882AD8A">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14:paraId="0EC03FB7">
        <w:tblPrEx>
          <w:tblCellMar>
            <w:top w:w="0" w:type="dxa"/>
            <w:left w:w="108" w:type="dxa"/>
            <w:bottom w:w="0" w:type="dxa"/>
            <w:right w:w="108" w:type="dxa"/>
          </w:tblCellMar>
        </w:tblPrEx>
        <w:trPr>
          <w:trHeight w:val="1130" w:hRule="atLeast"/>
        </w:trPr>
        <w:tc>
          <w:tcPr>
            <w:tcW w:w="286" w:type="pct"/>
            <w:vMerge w:val="continue"/>
            <w:tcBorders>
              <w:top w:val="nil"/>
              <w:left w:val="single" w:color="auto" w:sz="4" w:space="0"/>
              <w:bottom w:val="single" w:color="000000" w:sz="4" w:space="0"/>
              <w:right w:val="single" w:color="auto" w:sz="4" w:space="0"/>
            </w:tcBorders>
            <w:vAlign w:val="center"/>
          </w:tcPr>
          <w:p w14:paraId="4D63B592">
            <w:pPr>
              <w:widowControl/>
              <w:ind w:firstLine="400"/>
              <w:jc w:val="left"/>
              <w:rPr>
                <w:rFonts w:ascii="宋体" w:hAnsi="宋体" w:cs="宋体"/>
                <w:color w:val="000000"/>
                <w:kern w:val="0"/>
                <w:sz w:val="20"/>
                <w:szCs w:val="20"/>
              </w:rPr>
            </w:pPr>
          </w:p>
        </w:tc>
        <w:tc>
          <w:tcPr>
            <w:tcW w:w="286" w:type="pct"/>
            <w:vMerge w:val="continue"/>
            <w:tcBorders>
              <w:left w:val="single" w:color="auto" w:sz="4" w:space="0"/>
              <w:right w:val="single" w:color="auto" w:sz="4" w:space="0"/>
            </w:tcBorders>
            <w:vAlign w:val="center"/>
          </w:tcPr>
          <w:p w14:paraId="0E8D1885">
            <w:pPr>
              <w:widowControl/>
              <w:ind w:firstLine="400"/>
              <w:jc w:val="left"/>
              <w:rPr>
                <w:rFonts w:ascii="宋体" w:hAnsi="宋体" w:cs="宋体"/>
                <w:color w:val="000000"/>
                <w:kern w:val="0"/>
                <w:sz w:val="20"/>
                <w:szCs w:val="20"/>
              </w:rPr>
            </w:pPr>
          </w:p>
        </w:tc>
        <w:tc>
          <w:tcPr>
            <w:tcW w:w="422" w:type="pct"/>
            <w:tcBorders>
              <w:top w:val="single" w:color="auto" w:sz="4" w:space="0"/>
              <w:left w:val="nil"/>
              <w:bottom w:val="single" w:color="auto" w:sz="4" w:space="0"/>
              <w:right w:val="single" w:color="auto" w:sz="4" w:space="0"/>
            </w:tcBorders>
            <w:vAlign w:val="center"/>
          </w:tcPr>
          <w:p w14:paraId="652012D3">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产出质量</w:t>
            </w:r>
          </w:p>
          <w:p w14:paraId="4F4C4ACD">
            <w:pPr>
              <w:widowControl/>
              <w:ind w:firstLine="0" w:firstLineChars="0"/>
              <w:rPr>
                <w:rFonts w:ascii="宋体" w:hAnsi="宋体" w:cs="宋体"/>
                <w:color w:val="000000"/>
                <w:kern w:val="0"/>
                <w:sz w:val="20"/>
                <w:szCs w:val="20"/>
              </w:rPr>
            </w:pPr>
          </w:p>
        </w:tc>
        <w:tc>
          <w:tcPr>
            <w:tcW w:w="482" w:type="pct"/>
            <w:tcBorders>
              <w:top w:val="single" w:color="auto" w:sz="4" w:space="0"/>
              <w:left w:val="nil"/>
              <w:bottom w:val="single" w:color="auto" w:sz="4" w:space="0"/>
              <w:right w:val="single" w:color="auto" w:sz="4" w:space="0"/>
            </w:tcBorders>
            <w:vAlign w:val="center"/>
          </w:tcPr>
          <w:p w14:paraId="79BF6897">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产出指标中质量指标30个　</w:t>
            </w:r>
          </w:p>
        </w:tc>
        <w:tc>
          <w:tcPr>
            <w:tcW w:w="489" w:type="pct"/>
            <w:tcBorders>
              <w:top w:val="single" w:color="auto" w:sz="4" w:space="0"/>
              <w:left w:val="nil"/>
              <w:bottom w:val="single" w:color="auto" w:sz="4" w:space="0"/>
              <w:right w:val="single" w:color="auto" w:sz="4" w:space="0"/>
            </w:tcBorders>
            <w:vAlign w:val="center"/>
          </w:tcPr>
          <w:p w14:paraId="6A074078">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完成30个质量指标　</w:t>
            </w:r>
          </w:p>
        </w:tc>
        <w:tc>
          <w:tcPr>
            <w:tcW w:w="271" w:type="pct"/>
            <w:tcBorders>
              <w:top w:val="single" w:color="auto" w:sz="4" w:space="0"/>
              <w:left w:val="single" w:color="auto" w:sz="4" w:space="0"/>
              <w:bottom w:val="single" w:color="auto" w:sz="4" w:space="0"/>
              <w:right w:val="single" w:color="auto" w:sz="4" w:space="0"/>
            </w:tcBorders>
            <w:vAlign w:val="center"/>
          </w:tcPr>
          <w:p w14:paraId="50C64FA8">
            <w:pPr>
              <w:widowControl/>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284" w:type="pct"/>
            <w:tcBorders>
              <w:top w:val="single" w:color="auto" w:sz="4" w:space="0"/>
              <w:left w:val="nil"/>
              <w:bottom w:val="single" w:color="auto" w:sz="4" w:space="0"/>
              <w:right w:val="nil"/>
            </w:tcBorders>
            <w:noWrap/>
            <w:vAlign w:val="center"/>
          </w:tcPr>
          <w:p w14:paraId="0FA96114">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8</w:t>
            </w:r>
          </w:p>
        </w:tc>
        <w:tc>
          <w:tcPr>
            <w:tcW w:w="1389" w:type="pct"/>
            <w:vMerge w:val="continue"/>
            <w:tcBorders>
              <w:top w:val="nil"/>
              <w:left w:val="single" w:color="auto" w:sz="4" w:space="0"/>
              <w:bottom w:val="single" w:color="auto" w:sz="4" w:space="0"/>
              <w:right w:val="single" w:color="auto" w:sz="4" w:space="0"/>
            </w:tcBorders>
            <w:vAlign w:val="center"/>
          </w:tcPr>
          <w:p w14:paraId="0EF54431">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14:paraId="77541630">
            <w:pPr>
              <w:widowControl/>
              <w:ind w:firstLine="360"/>
              <w:jc w:val="left"/>
              <w:rPr>
                <w:rFonts w:ascii="宋体" w:hAnsi="宋体" w:cs="宋体"/>
                <w:color w:val="000000"/>
                <w:kern w:val="0"/>
                <w:sz w:val="18"/>
                <w:szCs w:val="18"/>
              </w:rPr>
            </w:pPr>
          </w:p>
        </w:tc>
      </w:tr>
      <w:tr w14:paraId="5D6075C3">
        <w:tblPrEx>
          <w:tblCellMar>
            <w:top w:w="0" w:type="dxa"/>
            <w:left w:w="108" w:type="dxa"/>
            <w:bottom w:w="0" w:type="dxa"/>
            <w:right w:w="108" w:type="dxa"/>
          </w:tblCellMar>
        </w:tblPrEx>
        <w:trPr>
          <w:trHeight w:val="1258" w:hRule="atLeast"/>
        </w:trPr>
        <w:tc>
          <w:tcPr>
            <w:tcW w:w="286" w:type="pct"/>
            <w:vMerge w:val="continue"/>
            <w:tcBorders>
              <w:top w:val="nil"/>
              <w:left w:val="single" w:color="auto" w:sz="4" w:space="0"/>
              <w:bottom w:val="single" w:color="000000" w:sz="4" w:space="0"/>
              <w:right w:val="single" w:color="auto" w:sz="4" w:space="0"/>
            </w:tcBorders>
            <w:vAlign w:val="center"/>
          </w:tcPr>
          <w:p w14:paraId="32973CB9">
            <w:pPr>
              <w:widowControl/>
              <w:ind w:firstLine="400"/>
              <w:jc w:val="left"/>
              <w:rPr>
                <w:rFonts w:ascii="宋体" w:hAnsi="宋体" w:cs="宋体"/>
                <w:color w:val="000000"/>
                <w:kern w:val="0"/>
                <w:sz w:val="20"/>
                <w:szCs w:val="20"/>
              </w:rPr>
            </w:pPr>
          </w:p>
        </w:tc>
        <w:tc>
          <w:tcPr>
            <w:tcW w:w="286" w:type="pct"/>
            <w:vMerge w:val="continue"/>
            <w:tcBorders>
              <w:left w:val="single" w:color="auto" w:sz="4" w:space="0"/>
              <w:right w:val="single" w:color="auto" w:sz="4" w:space="0"/>
            </w:tcBorders>
            <w:vAlign w:val="center"/>
          </w:tcPr>
          <w:p w14:paraId="3FCD3FC9">
            <w:pPr>
              <w:widowControl/>
              <w:ind w:firstLine="400"/>
              <w:jc w:val="left"/>
              <w:rPr>
                <w:rFonts w:ascii="宋体" w:hAnsi="宋体" w:cs="宋体"/>
                <w:color w:val="000000"/>
                <w:kern w:val="0"/>
                <w:sz w:val="20"/>
                <w:szCs w:val="20"/>
              </w:rPr>
            </w:pPr>
          </w:p>
        </w:tc>
        <w:tc>
          <w:tcPr>
            <w:tcW w:w="422" w:type="pct"/>
            <w:tcBorders>
              <w:top w:val="nil"/>
              <w:left w:val="nil"/>
              <w:bottom w:val="single" w:color="auto" w:sz="4" w:space="0"/>
              <w:right w:val="single" w:color="auto" w:sz="4" w:space="0"/>
            </w:tcBorders>
            <w:vAlign w:val="center"/>
          </w:tcPr>
          <w:p w14:paraId="55D34E79">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产出进度</w:t>
            </w:r>
          </w:p>
        </w:tc>
        <w:tc>
          <w:tcPr>
            <w:tcW w:w="482" w:type="pct"/>
            <w:tcBorders>
              <w:top w:val="nil"/>
              <w:left w:val="nil"/>
              <w:bottom w:val="single" w:color="auto" w:sz="4" w:space="0"/>
              <w:right w:val="single" w:color="auto" w:sz="4" w:space="0"/>
            </w:tcBorders>
            <w:vAlign w:val="center"/>
          </w:tcPr>
          <w:p w14:paraId="20455E20">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共安排了31个项目　</w:t>
            </w:r>
          </w:p>
        </w:tc>
        <w:tc>
          <w:tcPr>
            <w:tcW w:w="489" w:type="pct"/>
            <w:tcBorders>
              <w:top w:val="nil"/>
              <w:left w:val="nil"/>
              <w:bottom w:val="single" w:color="auto" w:sz="4" w:space="0"/>
              <w:right w:val="single" w:color="auto" w:sz="4" w:space="0"/>
            </w:tcBorders>
            <w:vAlign w:val="center"/>
          </w:tcPr>
          <w:p w14:paraId="0C6F47DD">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实际产出数31个项目，26个项目完成进度与计划基本一致　</w:t>
            </w:r>
          </w:p>
        </w:tc>
        <w:tc>
          <w:tcPr>
            <w:tcW w:w="271" w:type="pct"/>
            <w:tcBorders>
              <w:top w:val="single" w:color="auto" w:sz="4" w:space="0"/>
              <w:left w:val="single" w:color="auto" w:sz="4" w:space="0"/>
              <w:bottom w:val="single" w:color="auto" w:sz="4" w:space="0"/>
              <w:right w:val="single" w:color="auto" w:sz="4" w:space="0"/>
            </w:tcBorders>
            <w:vAlign w:val="center"/>
          </w:tcPr>
          <w:p w14:paraId="28C3850B">
            <w:pPr>
              <w:widowControl/>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284" w:type="pct"/>
            <w:tcBorders>
              <w:top w:val="nil"/>
              <w:left w:val="nil"/>
              <w:bottom w:val="single" w:color="auto" w:sz="4" w:space="0"/>
              <w:right w:val="nil"/>
            </w:tcBorders>
            <w:noWrap/>
            <w:vAlign w:val="center"/>
          </w:tcPr>
          <w:p w14:paraId="5C16BC42">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5</w:t>
            </w:r>
          </w:p>
        </w:tc>
        <w:tc>
          <w:tcPr>
            <w:tcW w:w="1389" w:type="pct"/>
            <w:vMerge w:val="continue"/>
            <w:tcBorders>
              <w:top w:val="nil"/>
              <w:left w:val="single" w:color="auto" w:sz="4" w:space="0"/>
              <w:bottom w:val="single" w:color="auto" w:sz="4" w:space="0"/>
              <w:right w:val="single" w:color="auto" w:sz="4" w:space="0"/>
            </w:tcBorders>
            <w:vAlign w:val="center"/>
          </w:tcPr>
          <w:p w14:paraId="2C07B4FA">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14:paraId="5A469673">
            <w:pPr>
              <w:widowControl/>
              <w:ind w:firstLine="360"/>
              <w:jc w:val="left"/>
              <w:rPr>
                <w:rFonts w:ascii="宋体" w:hAnsi="宋体" w:cs="宋体"/>
                <w:color w:val="000000"/>
                <w:kern w:val="0"/>
                <w:sz w:val="18"/>
                <w:szCs w:val="18"/>
              </w:rPr>
            </w:pPr>
          </w:p>
        </w:tc>
      </w:tr>
      <w:tr w14:paraId="743F1019">
        <w:tblPrEx>
          <w:tblCellMar>
            <w:top w:w="0" w:type="dxa"/>
            <w:left w:w="108" w:type="dxa"/>
            <w:bottom w:w="0" w:type="dxa"/>
            <w:right w:w="108" w:type="dxa"/>
          </w:tblCellMar>
        </w:tblPrEx>
        <w:trPr>
          <w:trHeight w:val="703" w:hRule="atLeast"/>
        </w:trPr>
        <w:tc>
          <w:tcPr>
            <w:tcW w:w="286" w:type="pct"/>
            <w:vMerge w:val="continue"/>
            <w:tcBorders>
              <w:top w:val="nil"/>
              <w:left w:val="single" w:color="auto" w:sz="4" w:space="0"/>
              <w:bottom w:val="single" w:color="000000" w:sz="4" w:space="0"/>
              <w:right w:val="single" w:color="auto" w:sz="4" w:space="0"/>
            </w:tcBorders>
            <w:vAlign w:val="center"/>
          </w:tcPr>
          <w:p w14:paraId="30B6AFA7">
            <w:pPr>
              <w:widowControl/>
              <w:ind w:firstLine="400"/>
              <w:jc w:val="left"/>
              <w:rPr>
                <w:rFonts w:ascii="宋体" w:hAnsi="宋体" w:cs="宋体"/>
                <w:color w:val="000000"/>
                <w:kern w:val="0"/>
                <w:sz w:val="20"/>
                <w:szCs w:val="20"/>
              </w:rPr>
            </w:pPr>
          </w:p>
        </w:tc>
        <w:tc>
          <w:tcPr>
            <w:tcW w:w="286" w:type="pct"/>
            <w:vMerge w:val="continue"/>
            <w:tcBorders>
              <w:left w:val="single" w:color="auto" w:sz="4" w:space="0"/>
              <w:bottom w:val="single" w:color="auto" w:sz="4" w:space="0"/>
              <w:right w:val="single" w:color="auto" w:sz="4" w:space="0"/>
            </w:tcBorders>
            <w:vAlign w:val="center"/>
          </w:tcPr>
          <w:p w14:paraId="33ADB977">
            <w:pPr>
              <w:widowControl/>
              <w:ind w:firstLine="400"/>
              <w:jc w:val="left"/>
              <w:rPr>
                <w:rFonts w:ascii="宋体" w:hAnsi="宋体" w:cs="宋体"/>
                <w:color w:val="000000"/>
                <w:kern w:val="0"/>
                <w:sz w:val="20"/>
                <w:szCs w:val="20"/>
              </w:rPr>
            </w:pPr>
          </w:p>
        </w:tc>
        <w:tc>
          <w:tcPr>
            <w:tcW w:w="422" w:type="pct"/>
            <w:tcBorders>
              <w:top w:val="nil"/>
              <w:left w:val="nil"/>
              <w:bottom w:val="single" w:color="auto" w:sz="4" w:space="0"/>
              <w:right w:val="single" w:color="auto" w:sz="4" w:space="0"/>
            </w:tcBorders>
            <w:vAlign w:val="center"/>
          </w:tcPr>
          <w:p w14:paraId="78AFAA8F">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产出成本</w:t>
            </w:r>
          </w:p>
        </w:tc>
        <w:tc>
          <w:tcPr>
            <w:tcW w:w="482" w:type="pct"/>
            <w:tcBorders>
              <w:top w:val="nil"/>
              <w:left w:val="nil"/>
              <w:bottom w:val="single" w:color="auto" w:sz="4" w:space="0"/>
              <w:right w:val="single" w:color="auto" w:sz="4" w:space="0"/>
            </w:tcBorders>
            <w:vAlign w:val="center"/>
          </w:tcPr>
          <w:p w14:paraId="4FBD7A0F">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共设置产出指标中成本指标23个　</w:t>
            </w:r>
          </w:p>
        </w:tc>
        <w:tc>
          <w:tcPr>
            <w:tcW w:w="489" w:type="pct"/>
            <w:tcBorders>
              <w:top w:val="nil"/>
              <w:left w:val="nil"/>
              <w:bottom w:val="single" w:color="auto" w:sz="4" w:space="0"/>
              <w:right w:val="single" w:color="auto" w:sz="4" w:space="0"/>
            </w:tcBorders>
            <w:vAlign w:val="center"/>
          </w:tcPr>
          <w:p w14:paraId="6CCA97A6">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完成23个指标，值完成率总体为100%。　</w:t>
            </w:r>
          </w:p>
        </w:tc>
        <w:tc>
          <w:tcPr>
            <w:tcW w:w="271" w:type="pct"/>
            <w:tcBorders>
              <w:top w:val="single" w:color="auto" w:sz="4" w:space="0"/>
              <w:left w:val="single" w:color="auto" w:sz="4" w:space="0"/>
              <w:bottom w:val="single" w:color="auto" w:sz="4" w:space="0"/>
              <w:right w:val="single" w:color="auto" w:sz="4" w:space="0"/>
            </w:tcBorders>
            <w:vAlign w:val="center"/>
          </w:tcPr>
          <w:p w14:paraId="438FFA18">
            <w:pPr>
              <w:widowControl/>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284" w:type="pct"/>
            <w:tcBorders>
              <w:top w:val="nil"/>
              <w:left w:val="nil"/>
              <w:bottom w:val="single" w:color="auto" w:sz="4" w:space="0"/>
              <w:right w:val="nil"/>
            </w:tcBorders>
            <w:noWrap/>
            <w:vAlign w:val="center"/>
          </w:tcPr>
          <w:p w14:paraId="6E1E7CAB">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7</w:t>
            </w:r>
          </w:p>
        </w:tc>
        <w:tc>
          <w:tcPr>
            <w:tcW w:w="1389" w:type="pct"/>
            <w:vMerge w:val="continue"/>
            <w:tcBorders>
              <w:top w:val="nil"/>
              <w:left w:val="single" w:color="auto" w:sz="4" w:space="0"/>
              <w:bottom w:val="single" w:color="auto" w:sz="4" w:space="0"/>
              <w:right w:val="single" w:color="auto" w:sz="4" w:space="0"/>
            </w:tcBorders>
            <w:vAlign w:val="center"/>
          </w:tcPr>
          <w:p w14:paraId="3035EDCD">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14:paraId="31224111">
            <w:pPr>
              <w:widowControl/>
              <w:ind w:firstLine="360"/>
              <w:jc w:val="left"/>
              <w:rPr>
                <w:rFonts w:ascii="宋体" w:hAnsi="宋体" w:cs="宋体"/>
                <w:color w:val="000000"/>
                <w:kern w:val="0"/>
                <w:sz w:val="18"/>
                <w:szCs w:val="18"/>
              </w:rPr>
            </w:pPr>
          </w:p>
        </w:tc>
      </w:tr>
      <w:tr w14:paraId="6E30A691">
        <w:tblPrEx>
          <w:tblCellMar>
            <w:top w:w="0" w:type="dxa"/>
            <w:left w:w="108" w:type="dxa"/>
            <w:bottom w:w="0" w:type="dxa"/>
            <w:right w:w="108" w:type="dxa"/>
          </w:tblCellMar>
        </w:tblPrEx>
        <w:trPr>
          <w:trHeight w:val="675" w:hRule="atLeast"/>
        </w:trPr>
        <w:tc>
          <w:tcPr>
            <w:tcW w:w="286" w:type="pct"/>
            <w:vMerge w:val="continue"/>
            <w:tcBorders>
              <w:top w:val="nil"/>
              <w:left w:val="single" w:color="auto" w:sz="4" w:space="0"/>
              <w:bottom w:val="single" w:color="000000" w:sz="4" w:space="0"/>
              <w:right w:val="single" w:color="auto" w:sz="4" w:space="0"/>
            </w:tcBorders>
            <w:vAlign w:val="center"/>
          </w:tcPr>
          <w:p w14:paraId="14342049">
            <w:pPr>
              <w:widowControl/>
              <w:adjustRightInd w:val="0"/>
              <w:snapToGrid w:val="0"/>
              <w:spacing w:line="240" w:lineRule="auto"/>
              <w:ind w:firstLine="400"/>
              <w:jc w:val="left"/>
              <w:rPr>
                <w:rFonts w:ascii="宋体" w:hAnsi="宋体" w:cs="宋体"/>
                <w:color w:val="000000"/>
                <w:kern w:val="0"/>
                <w:sz w:val="20"/>
                <w:szCs w:val="20"/>
              </w:rPr>
            </w:pPr>
          </w:p>
        </w:tc>
        <w:tc>
          <w:tcPr>
            <w:tcW w:w="286" w:type="pct"/>
            <w:vMerge w:val="restart"/>
            <w:tcBorders>
              <w:top w:val="nil"/>
              <w:left w:val="single" w:color="auto" w:sz="4" w:space="0"/>
              <w:bottom w:val="single" w:color="auto" w:sz="4" w:space="0"/>
              <w:right w:val="single" w:color="auto" w:sz="4" w:space="0"/>
            </w:tcBorders>
            <w:vAlign w:val="center"/>
          </w:tcPr>
          <w:p w14:paraId="6D82C87F">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效果（30）</w:t>
            </w:r>
          </w:p>
        </w:tc>
        <w:tc>
          <w:tcPr>
            <w:tcW w:w="422" w:type="pct"/>
            <w:tcBorders>
              <w:top w:val="nil"/>
              <w:left w:val="nil"/>
              <w:bottom w:val="single" w:color="auto" w:sz="4" w:space="0"/>
              <w:right w:val="single" w:color="auto" w:sz="4" w:space="0"/>
            </w:tcBorders>
            <w:vAlign w:val="center"/>
          </w:tcPr>
          <w:p w14:paraId="06939556">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社会效益</w:t>
            </w:r>
          </w:p>
        </w:tc>
        <w:tc>
          <w:tcPr>
            <w:tcW w:w="482" w:type="pct"/>
            <w:tcBorders>
              <w:top w:val="nil"/>
              <w:left w:val="nil"/>
              <w:bottom w:val="single" w:color="auto" w:sz="4" w:space="0"/>
              <w:right w:val="single" w:color="auto" w:sz="4" w:space="0"/>
            </w:tcBorders>
            <w:vAlign w:val="center"/>
          </w:tcPr>
          <w:p w14:paraId="5C008F59">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共设置社会效益指标20个。　</w:t>
            </w:r>
          </w:p>
        </w:tc>
        <w:tc>
          <w:tcPr>
            <w:tcW w:w="489" w:type="pct"/>
            <w:tcBorders>
              <w:top w:val="nil"/>
              <w:left w:val="nil"/>
              <w:bottom w:val="single" w:color="auto" w:sz="4" w:space="0"/>
              <w:right w:val="single" w:color="auto" w:sz="4" w:space="0"/>
            </w:tcBorders>
            <w:vAlign w:val="center"/>
          </w:tcPr>
          <w:p w14:paraId="312EED6B">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已按计划完成　</w:t>
            </w:r>
          </w:p>
        </w:tc>
        <w:tc>
          <w:tcPr>
            <w:tcW w:w="271" w:type="pct"/>
            <w:vMerge w:val="restart"/>
            <w:tcBorders>
              <w:top w:val="nil"/>
              <w:left w:val="single" w:color="auto" w:sz="4" w:space="0"/>
              <w:bottom w:val="single" w:color="auto" w:sz="4" w:space="0"/>
              <w:right w:val="single" w:color="auto" w:sz="4" w:space="0"/>
            </w:tcBorders>
            <w:noWrap/>
            <w:vAlign w:val="center"/>
          </w:tcPr>
          <w:p w14:paraId="133325A7">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284" w:type="pct"/>
            <w:tcBorders>
              <w:top w:val="nil"/>
              <w:left w:val="nil"/>
              <w:bottom w:val="single" w:color="auto" w:sz="4" w:space="0"/>
              <w:right w:val="nil"/>
            </w:tcBorders>
            <w:noWrap/>
            <w:vAlign w:val="center"/>
          </w:tcPr>
          <w:p w14:paraId="44FDFBC6">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89" w:type="pct"/>
            <w:vMerge w:val="restart"/>
            <w:tcBorders>
              <w:top w:val="nil"/>
              <w:left w:val="single" w:color="auto" w:sz="4" w:space="0"/>
              <w:bottom w:val="single" w:color="auto" w:sz="4" w:space="0"/>
              <w:right w:val="single" w:color="auto" w:sz="4" w:space="0"/>
            </w:tcBorders>
            <w:vAlign w:val="center"/>
          </w:tcPr>
          <w:p w14:paraId="220EE47E">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087" w:type="pct"/>
            <w:vMerge w:val="restart"/>
            <w:tcBorders>
              <w:top w:val="nil"/>
              <w:left w:val="single" w:color="auto" w:sz="4" w:space="0"/>
              <w:bottom w:val="single" w:color="auto" w:sz="4" w:space="0"/>
              <w:right w:val="single" w:color="auto" w:sz="4" w:space="0"/>
            </w:tcBorders>
            <w:vAlign w:val="center"/>
          </w:tcPr>
          <w:p w14:paraId="436FDCB4">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14:paraId="238A5B9E">
        <w:tblPrEx>
          <w:tblCellMar>
            <w:top w:w="0" w:type="dxa"/>
            <w:left w:w="108" w:type="dxa"/>
            <w:bottom w:w="0" w:type="dxa"/>
            <w:right w:w="108" w:type="dxa"/>
          </w:tblCellMar>
        </w:tblPrEx>
        <w:trPr>
          <w:trHeight w:val="630" w:hRule="atLeast"/>
        </w:trPr>
        <w:tc>
          <w:tcPr>
            <w:tcW w:w="286" w:type="pct"/>
            <w:vMerge w:val="continue"/>
            <w:tcBorders>
              <w:top w:val="nil"/>
              <w:left w:val="single" w:color="auto" w:sz="4" w:space="0"/>
              <w:bottom w:val="single" w:color="000000" w:sz="4" w:space="0"/>
              <w:right w:val="single" w:color="auto" w:sz="4" w:space="0"/>
            </w:tcBorders>
            <w:vAlign w:val="center"/>
          </w:tcPr>
          <w:p w14:paraId="1FBD76A3">
            <w:pPr>
              <w:widowControl/>
              <w:adjustRightInd w:val="0"/>
              <w:snapToGrid w:val="0"/>
              <w:spacing w:line="240" w:lineRule="auto"/>
              <w:ind w:firstLine="400"/>
              <w:jc w:val="left"/>
              <w:rPr>
                <w:rFonts w:ascii="宋体" w:hAnsi="宋体" w:cs="宋体"/>
                <w:color w:val="000000"/>
                <w:kern w:val="0"/>
                <w:sz w:val="20"/>
                <w:szCs w:val="20"/>
              </w:rPr>
            </w:pPr>
          </w:p>
        </w:tc>
        <w:tc>
          <w:tcPr>
            <w:tcW w:w="286" w:type="pct"/>
            <w:vMerge w:val="continue"/>
            <w:tcBorders>
              <w:top w:val="nil"/>
              <w:left w:val="single" w:color="auto" w:sz="4" w:space="0"/>
              <w:bottom w:val="single" w:color="auto" w:sz="4" w:space="0"/>
              <w:right w:val="single" w:color="auto" w:sz="4" w:space="0"/>
            </w:tcBorders>
            <w:vAlign w:val="center"/>
          </w:tcPr>
          <w:p w14:paraId="3417BAF8">
            <w:pPr>
              <w:widowControl/>
              <w:adjustRightInd w:val="0"/>
              <w:snapToGrid w:val="0"/>
              <w:spacing w:line="240" w:lineRule="auto"/>
              <w:ind w:firstLine="400"/>
              <w:jc w:val="left"/>
              <w:rPr>
                <w:rFonts w:ascii="宋体" w:hAnsi="宋体" w:cs="宋体"/>
                <w:color w:val="000000"/>
                <w:kern w:val="0"/>
                <w:sz w:val="20"/>
                <w:szCs w:val="20"/>
              </w:rPr>
            </w:pPr>
          </w:p>
        </w:tc>
        <w:tc>
          <w:tcPr>
            <w:tcW w:w="422" w:type="pct"/>
            <w:tcBorders>
              <w:top w:val="nil"/>
              <w:left w:val="nil"/>
              <w:bottom w:val="single" w:color="auto" w:sz="4" w:space="0"/>
              <w:right w:val="single" w:color="auto" w:sz="4" w:space="0"/>
            </w:tcBorders>
            <w:vAlign w:val="center"/>
          </w:tcPr>
          <w:p w14:paraId="27DD2EBB">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经济效益</w:t>
            </w:r>
          </w:p>
        </w:tc>
        <w:tc>
          <w:tcPr>
            <w:tcW w:w="482" w:type="pct"/>
            <w:tcBorders>
              <w:top w:val="nil"/>
              <w:left w:val="nil"/>
              <w:bottom w:val="single" w:color="auto" w:sz="4" w:space="0"/>
              <w:right w:val="single" w:color="auto" w:sz="4" w:space="0"/>
            </w:tcBorders>
            <w:vAlign w:val="center"/>
          </w:tcPr>
          <w:p w14:paraId="18AB5E38">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共设置经济效益指标15个。　</w:t>
            </w:r>
          </w:p>
        </w:tc>
        <w:tc>
          <w:tcPr>
            <w:tcW w:w="489" w:type="pct"/>
            <w:tcBorders>
              <w:top w:val="nil"/>
              <w:left w:val="nil"/>
              <w:bottom w:val="single" w:color="auto" w:sz="4" w:space="0"/>
              <w:right w:val="single" w:color="auto" w:sz="4" w:space="0"/>
            </w:tcBorders>
            <w:vAlign w:val="center"/>
          </w:tcPr>
          <w:p w14:paraId="48ACF8E2">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已按计划完成　</w:t>
            </w:r>
          </w:p>
        </w:tc>
        <w:tc>
          <w:tcPr>
            <w:tcW w:w="271" w:type="pct"/>
            <w:vMerge w:val="continue"/>
            <w:tcBorders>
              <w:top w:val="nil"/>
              <w:left w:val="single" w:color="auto" w:sz="4" w:space="0"/>
              <w:bottom w:val="single" w:color="auto" w:sz="4" w:space="0"/>
              <w:right w:val="single" w:color="auto" w:sz="4" w:space="0"/>
            </w:tcBorders>
            <w:vAlign w:val="center"/>
          </w:tcPr>
          <w:p w14:paraId="4EAFF86B">
            <w:pPr>
              <w:widowControl/>
              <w:adjustRightInd w:val="0"/>
              <w:snapToGrid w:val="0"/>
              <w:spacing w:line="240" w:lineRule="auto"/>
              <w:ind w:firstLine="400"/>
              <w:jc w:val="center"/>
              <w:rPr>
                <w:rFonts w:ascii="宋体" w:hAnsi="宋体" w:cs="宋体"/>
                <w:color w:val="000000"/>
                <w:kern w:val="0"/>
                <w:sz w:val="20"/>
                <w:szCs w:val="20"/>
              </w:rPr>
            </w:pPr>
          </w:p>
        </w:tc>
        <w:tc>
          <w:tcPr>
            <w:tcW w:w="284" w:type="pct"/>
            <w:tcBorders>
              <w:top w:val="nil"/>
              <w:left w:val="nil"/>
              <w:bottom w:val="single" w:color="auto" w:sz="4" w:space="0"/>
              <w:right w:val="nil"/>
            </w:tcBorders>
            <w:noWrap/>
            <w:vAlign w:val="center"/>
          </w:tcPr>
          <w:p w14:paraId="600D20CB">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89" w:type="pct"/>
            <w:vMerge w:val="continue"/>
            <w:tcBorders>
              <w:top w:val="nil"/>
              <w:left w:val="single" w:color="auto" w:sz="4" w:space="0"/>
              <w:bottom w:val="single" w:color="auto" w:sz="4" w:space="0"/>
              <w:right w:val="single" w:color="auto" w:sz="4" w:space="0"/>
            </w:tcBorders>
            <w:vAlign w:val="center"/>
          </w:tcPr>
          <w:p w14:paraId="652037A2">
            <w:pPr>
              <w:widowControl/>
              <w:adjustRightInd w:val="0"/>
              <w:snapToGrid w:val="0"/>
              <w:spacing w:line="240" w:lineRule="auto"/>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14:paraId="26394BC0">
            <w:pPr>
              <w:widowControl/>
              <w:adjustRightInd w:val="0"/>
              <w:snapToGrid w:val="0"/>
              <w:spacing w:line="240" w:lineRule="auto"/>
              <w:ind w:firstLine="360"/>
              <w:jc w:val="left"/>
              <w:rPr>
                <w:rFonts w:ascii="宋体" w:hAnsi="宋体" w:cs="宋体"/>
                <w:color w:val="000000"/>
                <w:kern w:val="0"/>
                <w:sz w:val="18"/>
                <w:szCs w:val="18"/>
              </w:rPr>
            </w:pPr>
          </w:p>
        </w:tc>
      </w:tr>
      <w:tr w14:paraId="0C382151">
        <w:tblPrEx>
          <w:tblCellMar>
            <w:top w:w="0" w:type="dxa"/>
            <w:left w:w="108" w:type="dxa"/>
            <w:bottom w:w="0" w:type="dxa"/>
            <w:right w:w="108" w:type="dxa"/>
          </w:tblCellMar>
        </w:tblPrEx>
        <w:trPr>
          <w:trHeight w:val="690" w:hRule="atLeast"/>
        </w:trPr>
        <w:tc>
          <w:tcPr>
            <w:tcW w:w="286" w:type="pct"/>
            <w:vMerge w:val="continue"/>
            <w:tcBorders>
              <w:top w:val="nil"/>
              <w:left w:val="single" w:color="auto" w:sz="4" w:space="0"/>
              <w:bottom w:val="single" w:color="000000" w:sz="4" w:space="0"/>
              <w:right w:val="single" w:color="auto" w:sz="4" w:space="0"/>
            </w:tcBorders>
            <w:vAlign w:val="center"/>
          </w:tcPr>
          <w:p w14:paraId="23901446">
            <w:pPr>
              <w:widowControl/>
              <w:adjustRightInd w:val="0"/>
              <w:snapToGrid w:val="0"/>
              <w:spacing w:line="240" w:lineRule="auto"/>
              <w:ind w:firstLine="400"/>
              <w:jc w:val="left"/>
              <w:rPr>
                <w:rFonts w:ascii="宋体" w:hAnsi="宋体" w:cs="宋体"/>
                <w:color w:val="000000"/>
                <w:kern w:val="0"/>
                <w:sz w:val="20"/>
                <w:szCs w:val="20"/>
              </w:rPr>
            </w:pPr>
          </w:p>
        </w:tc>
        <w:tc>
          <w:tcPr>
            <w:tcW w:w="286" w:type="pct"/>
            <w:vMerge w:val="continue"/>
            <w:tcBorders>
              <w:top w:val="nil"/>
              <w:left w:val="single" w:color="auto" w:sz="4" w:space="0"/>
              <w:bottom w:val="single" w:color="auto" w:sz="4" w:space="0"/>
              <w:right w:val="single" w:color="auto" w:sz="4" w:space="0"/>
            </w:tcBorders>
            <w:vAlign w:val="center"/>
          </w:tcPr>
          <w:p w14:paraId="0D343BF5">
            <w:pPr>
              <w:widowControl/>
              <w:adjustRightInd w:val="0"/>
              <w:snapToGrid w:val="0"/>
              <w:spacing w:line="240" w:lineRule="auto"/>
              <w:ind w:firstLine="400"/>
              <w:jc w:val="left"/>
              <w:rPr>
                <w:rFonts w:ascii="宋体" w:hAnsi="宋体" w:cs="宋体"/>
                <w:color w:val="000000"/>
                <w:kern w:val="0"/>
                <w:sz w:val="20"/>
                <w:szCs w:val="20"/>
              </w:rPr>
            </w:pPr>
          </w:p>
        </w:tc>
        <w:tc>
          <w:tcPr>
            <w:tcW w:w="422" w:type="pct"/>
            <w:tcBorders>
              <w:top w:val="nil"/>
              <w:left w:val="nil"/>
              <w:bottom w:val="single" w:color="auto" w:sz="4" w:space="0"/>
              <w:right w:val="single" w:color="auto" w:sz="4" w:space="0"/>
            </w:tcBorders>
            <w:vAlign w:val="center"/>
          </w:tcPr>
          <w:p w14:paraId="6AD5B7AD">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482" w:type="pct"/>
            <w:tcBorders>
              <w:top w:val="nil"/>
              <w:left w:val="nil"/>
              <w:bottom w:val="single" w:color="auto" w:sz="4" w:space="0"/>
              <w:right w:val="single" w:color="auto" w:sz="4" w:space="0"/>
            </w:tcBorders>
            <w:vAlign w:val="center"/>
          </w:tcPr>
          <w:p w14:paraId="3C43E410">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共设置满意度指标22个。　</w:t>
            </w:r>
          </w:p>
        </w:tc>
        <w:tc>
          <w:tcPr>
            <w:tcW w:w="489" w:type="pct"/>
            <w:tcBorders>
              <w:top w:val="nil"/>
              <w:left w:val="nil"/>
              <w:bottom w:val="single" w:color="auto" w:sz="4" w:space="0"/>
              <w:right w:val="single" w:color="auto" w:sz="4" w:space="0"/>
            </w:tcBorders>
            <w:vAlign w:val="center"/>
          </w:tcPr>
          <w:p w14:paraId="4475B7A3">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已按计划完成　</w:t>
            </w:r>
          </w:p>
        </w:tc>
        <w:tc>
          <w:tcPr>
            <w:tcW w:w="271" w:type="pct"/>
            <w:vMerge w:val="continue"/>
            <w:tcBorders>
              <w:top w:val="nil"/>
              <w:left w:val="single" w:color="auto" w:sz="4" w:space="0"/>
              <w:bottom w:val="single" w:color="auto" w:sz="4" w:space="0"/>
              <w:right w:val="single" w:color="auto" w:sz="4" w:space="0"/>
            </w:tcBorders>
            <w:vAlign w:val="center"/>
          </w:tcPr>
          <w:p w14:paraId="6BF4C347">
            <w:pPr>
              <w:widowControl/>
              <w:adjustRightInd w:val="0"/>
              <w:snapToGrid w:val="0"/>
              <w:spacing w:line="240" w:lineRule="auto"/>
              <w:ind w:firstLine="400"/>
              <w:jc w:val="center"/>
              <w:rPr>
                <w:rFonts w:ascii="宋体" w:hAnsi="宋体" w:cs="宋体"/>
                <w:color w:val="000000"/>
                <w:kern w:val="0"/>
                <w:sz w:val="20"/>
                <w:szCs w:val="20"/>
              </w:rPr>
            </w:pPr>
          </w:p>
        </w:tc>
        <w:tc>
          <w:tcPr>
            <w:tcW w:w="284" w:type="pct"/>
            <w:tcBorders>
              <w:top w:val="nil"/>
              <w:left w:val="nil"/>
              <w:bottom w:val="single" w:color="auto" w:sz="4" w:space="0"/>
              <w:right w:val="nil"/>
            </w:tcBorders>
            <w:noWrap/>
            <w:vAlign w:val="center"/>
          </w:tcPr>
          <w:p w14:paraId="5F0182CA">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389" w:type="pct"/>
            <w:vMerge w:val="continue"/>
            <w:tcBorders>
              <w:top w:val="nil"/>
              <w:left w:val="single" w:color="auto" w:sz="4" w:space="0"/>
              <w:bottom w:val="single" w:color="auto" w:sz="4" w:space="0"/>
              <w:right w:val="single" w:color="auto" w:sz="4" w:space="0"/>
            </w:tcBorders>
            <w:vAlign w:val="center"/>
          </w:tcPr>
          <w:p w14:paraId="446F14A0">
            <w:pPr>
              <w:widowControl/>
              <w:adjustRightInd w:val="0"/>
              <w:snapToGrid w:val="0"/>
              <w:spacing w:line="240" w:lineRule="auto"/>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14:paraId="67B7BF16">
            <w:pPr>
              <w:widowControl/>
              <w:adjustRightInd w:val="0"/>
              <w:snapToGrid w:val="0"/>
              <w:spacing w:line="240" w:lineRule="auto"/>
              <w:ind w:firstLine="360"/>
              <w:jc w:val="left"/>
              <w:rPr>
                <w:rFonts w:ascii="宋体" w:hAnsi="宋体" w:cs="宋体"/>
                <w:color w:val="000000"/>
                <w:kern w:val="0"/>
                <w:sz w:val="18"/>
                <w:szCs w:val="18"/>
              </w:rPr>
            </w:pPr>
          </w:p>
        </w:tc>
      </w:tr>
      <w:tr w14:paraId="1946F727">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14:paraId="7C4B3DC1">
            <w:pPr>
              <w:widowControl/>
              <w:adjustRightInd w:val="0"/>
              <w:snapToGrid w:val="0"/>
              <w:spacing w:line="240" w:lineRule="auto"/>
              <w:ind w:firstLine="360"/>
              <w:jc w:val="center"/>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14:paraId="76CE5355">
        <w:tblPrEx>
          <w:tblCellMar>
            <w:top w:w="0" w:type="dxa"/>
            <w:left w:w="108" w:type="dxa"/>
            <w:bottom w:w="0" w:type="dxa"/>
            <w:right w:w="108" w:type="dxa"/>
          </w:tblCellMar>
        </w:tblPrEx>
        <w:trPr>
          <w:trHeight w:val="702" w:hRule="atLeast"/>
        </w:trPr>
        <w:tc>
          <w:tcPr>
            <w:tcW w:w="286" w:type="pct"/>
            <w:tcBorders>
              <w:top w:val="single" w:color="auto" w:sz="4" w:space="0"/>
              <w:left w:val="single" w:color="auto" w:sz="4" w:space="0"/>
              <w:bottom w:val="single" w:color="auto" w:sz="4" w:space="0"/>
              <w:right w:val="single" w:color="auto" w:sz="4" w:space="0"/>
            </w:tcBorders>
            <w:vAlign w:val="center"/>
          </w:tcPr>
          <w:p w14:paraId="25439B00">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86" w:type="pct"/>
            <w:tcBorders>
              <w:top w:val="single" w:color="auto" w:sz="4" w:space="0"/>
              <w:left w:val="single" w:color="auto" w:sz="4" w:space="0"/>
              <w:bottom w:val="single" w:color="auto" w:sz="4" w:space="0"/>
              <w:right w:val="single" w:color="auto" w:sz="4" w:space="0"/>
            </w:tcBorders>
            <w:vAlign w:val="center"/>
          </w:tcPr>
          <w:p w14:paraId="111C2DA3">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422" w:type="pct"/>
            <w:tcBorders>
              <w:top w:val="single" w:color="auto" w:sz="4" w:space="0"/>
              <w:left w:val="nil"/>
              <w:bottom w:val="single" w:color="auto" w:sz="4" w:space="0"/>
              <w:right w:val="single" w:color="auto" w:sz="4" w:space="0"/>
            </w:tcBorders>
            <w:vAlign w:val="center"/>
          </w:tcPr>
          <w:p w14:paraId="45E08E2B">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482" w:type="pct"/>
            <w:tcBorders>
              <w:top w:val="single" w:color="auto" w:sz="4" w:space="0"/>
              <w:left w:val="nil"/>
              <w:bottom w:val="single" w:color="auto" w:sz="4" w:space="0"/>
              <w:right w:val="single" w:color="auto" w:sz="4" w:space="0"/>
            </w:tcBorders>
            <w:vAlign w:val="center"/>
          </w:tcPr>
          <w:p w14:paraId="7750D150">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489" w:type="pct"/>
            <w:tcBorders>
              <w:top w:val="single" w:color="auto" w:sz="4" w:space="0"/>
              <w:left w:val="nil"/>
              <w:bottom w:val="single" w:color="auto" w:sz="4" w:space="0"/>
              <w:right w:val="single" w:color="auto" w:sz="4" w:space="0"/>
            </w:tcBorders>
            <w:vAlign w:val="center"/>
          </w:tcPr>
          <w:p w14:paraId="3FF5979F">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71" w:type="pct"/>
            <w:tcBorders>
              <w:top w:val="single" w:color="auto" w:sz="4" w:space="0"/>
              <w:left w:val="nil"/>
              <w:bottom w:val="single" w:color="auto" w:sz="4" w:space="0"/>
              <w:right w:val="single" w:color="auto" w:sz="4" w:space="0"/>
            </w:tcBorders>
            <w:noWrap/>
            <w:vAlign w:val="center"/>
          </w:tcPr>
          <w:p w14:paraId="48BE6541">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84" w:type="pct"/>
            <w:tcBorders>
              <w:top w:val="single" w:color="auto" w:sz="4" w:space="0"/>
              <w:left w:val="nil"/>
              <w:bottom w:val="single" w:color="auto" w:sz="4" w:space="0"/>
              <w:right w:val="nil"/>
            </w:tcBorders>
            <w:noWrap/>
            <w:vAlign w:val="center"/>
          </w:tcPr>
          <w:p w14:paraId="5E959CAC">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389" w:type="pct"/>
            <w:tcBorders>
              <w:top w:val="single" w:color="auto" w:sz="4" w:space="0"/>
              <w:left w:val="single" w:color="auto" w:sz="4" w:space="0"/>
              <w:bottom w:val="single" w:color="auto" w:sz="4" w:space="0"/>
              <w:right w:val="single" w:color="auto" w:sz="4" w:space="0"/>
            </w:tcBorders>
            <w:vAlign w:val="center"/>
          </w:tcPr>
          <w:p w14:paraId="13134A08">
            <w:pPr>
              <w:widowControl/>
              <w:adjustRightInd w:val="0"/>
              <w:snapToGrid w:val="0"/>
              <w:spacing w:line="240" w:lineRule="auto"/>
              <w:ind w:firstLine="360"/>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87" w:type="pct"/>
            <w:tcBorders>
              <w:top w:val="single" w:color="auto" w:sz="4" w:space="0"/>
              <w:left w:val="nil"/>
              <w:bottom w:val="single" w:color="auto" w:sz="4" w:space="0"/>
              <w:right w:val="single" w:color="auto" w:sz="4" w:space="0"/>
            </w:tcBorders>
            <w:vAlign w:val="center"/>
          </w:tcPr>
          <w:p w14:paraId="499468C4">
            <w:pPr>
              <w:widowControl/>
              <w:adjustRightInd w:val="0"/>
              <w:snapToGrid w:val="0"/>
              <w:spacing w:line="240" w:lineRule="auto"/>
              <w:ind w:firstLine="360"/>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71A67B7B">
        <w:tblPrEx>
          <w:tblCellMar>
            <w:top w:w="0" w:type="dxa"/>
            <w:left w:w="108" w:type="dxa"/>
            <w:bottom w:w="0" w:type="dxa"/>
            <w:right w:w="108" w:type="dxa"/>
          </w:tblCellMar>
        </w:tblPrEx>
        <w:trPr>
          <w:trHeight w:val="1230" w:hRule="atLeast"/>
        </w:trPr>
        <w:tc>
          <w:tcPr>
            <w:tcW w:w="286" w:type="pct"/>
            <w:vMerge w:val="restart"/>
            <w:tcBorders>
              <w:top w:val="single" w:color="auto" w:sz="4" w:space="0"/>
              <w:left w:val="single" w:color="auto" w:sz="4" w:space="0"/>
              <w:bottom w:val="single" w:color="auto" w:sz="4" w:space="0"/>
              <w:right w:val="single" w:color="auto" w:sz="4" w:space="0"/>
            </w:tcBorders>
            <w:vAlign w:val="center"/>
          </w:tcPr>
          <w:p w14:paraId="2A00E263">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286" w:type="pct"/>
            <w:vMerge w:val="restart"/>
            <w:tcBorders>
              <w:top w:val="single" w:color="auto" w:sz="4" w:space="0"/>
              <w:left w:val="single" w:color="auto" w:sz="4" w:space="0"/>
              <w:bottom w:val="single" w:color="auto" w:sz="4" w:space="0"/>
              <w:right w:val="single" w:color="auto" w:sz="4" w:space="0"/>
            </w:tcBorders>
            <w:vAlign w:val="center"/>
          </w:tcPr>
          <w:p w14:paraId="42384CDB">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422" w:type="pct"/>
            <w:tcBorders>
              <w:top w:val="single" w:color="auto" w:sz="4" w:space="0"/>
              <w:left w:val="nil"/>
              <w:bottom w:val="single" w:color="auto" w:sz="4" w:space="0"/>
              <w:right w:val="single" w:color="auto" w:sz="4" w:space="0"/>
            </w:tcBorders>
            <w:vAlign w:val="center"/>
          </w:tcPr>
          <w:p w14:paraId="4084A8CB">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482" w:type="pct"/>
            <w:tcBorders>
              <w:top w:val="single" w:color="auto" w:sz="4" w:space="0"/>
              <w:left w:val="nil"/>
              <w:bottom w:val="single" w:color="auto" w:sz="4" w:space="0"/>
              <w:right w:val="single" w:color="auto" w:sz="4" w:space="0"/>
            </w:tcBorders>
            <w:vAlign w:val="center"/>
          </w:tcPr>
          <w:p w14:paraId="477EF7A6">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《北京市投资促进服务中心综合财务管理制度》《北京市投资促进服务中心预算管理制度》《北京市投资促进服务中心政府采购管理办法》</w:t>
            </w:r>
          </w:p>
        </w:tc>
        <w:tc>
          <w:tcPr>
            <w:tcW w:w="489" w:type="pct"/>
            <w:tcBorders>
              <w:top w:val="single" w:color="auto" w:sz="4" w:space="0"/>
              <w:left w:val="nil"/>
              <w:bottom w:val="single" w:color="auto" w:sz="4" w:space="0"/>
              <w:right w:val="single" w:color="auto" w:sz="4" w:space="0"/>
            </w:tcBorders>
            <w:vAlign w:val="center"/>
          </w:tcPr>
          <w:p w14:paraId="75917C94">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已完成　</w:t>
            </w:r>
          </w:p>
        </w:tc>
        <w:tc>
          <w:tcPr>
            <w:tcW w:w="271" w:type="pct"/>
            <w:tcBorders>
              <w:top w:val="single" w:color="auto" w:sz="4" w:space="0"/>
              <w:left w:val="nil"/>
              <w:bottom w:val="single" w:color="auto" w:sz="4" w:space="0"/>
              <w:right w:val="single" w:color="auto" w:sz="4" w:space="0"/>
            </w:tcBorders>
            <w:noWrap/>
            <w:vAlign w:val="center"/>
          </w:tcPr>
          <w:p w14:paraId="766A1008">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1</w:t>
            </w:r>
          </w:p>
        </w:tc>
        <w:tc>
          <w:tcPr>
            <w:tcW w:w="284" w:type="pct"/>
            <w:tcBorders>
              <w:top w:val="single" w:color="auto" w:sz="4" w:space="0"/>
              <w:left w:val="nil"/>
              <w:bottom w:val="single" w:color="auto" w:sz="4" w:space="0"/>
              <w:right w:val="nil"/>
            </w:tcBorders>
            <w:noWrap/>
            <w:vAlign w:val="center"/>
          </w:tcPr>
          <w:p w14:paraId="57175AEA">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1</w:t>
            </w:r>
          </w:p>
        </w:tc>
        <w:tc>
          <w:tcPr>
            <w:tcW w:w="1389" w:type="pct"/>
            <w:tcBorders>
              <w:top w:val="single" w:color="auto" w:sz="4" w:space="0"/>
              <w:left w:val="single" w:color="auto" w:sz="4" w:space="0"/>
              <w:bottom w:val="single" w:color="auto" w:sz="4" w:space="0"/>
              <w:right w:val="single" w:color="auto" w:sz="4" w:space="0"/>
            </w:tcBorders>
            <w:vAlign w:val="center"/>
          </w:tcPr>
          <w:p w14:paraId="74BB3458">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087" w:type="pct"/>
            <w:tcBorders>
              <w:top w:val="single" w:color="auto" w:sz="4" w:space="0"/>
              <w:left w:val="nil"/>
              <w:bottom w:val="single" w:color="auto" w:sz="4" w:space="0"/>
              <w:right w:val="single" w:color="auto" w:sz="4" w:space="0"/>
            </w:tcBorders>
            <w:vAlign w:val="center"/>
          </w:tcPr>
          <w:p w14:paraId="506FCB9F">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14:paraId="31295649">
        <w:tblPrEx>
          <w:tblCellMar>
            <w:top w:w="0" w:type="dxa"/>
            <w:left w:w="108" w:type="dxa"/>
            <w:bottom w:w="0" w:type="dxa"/>
            <w:right w:w="108" w:type="dxa"/>
          </w:tblCellMar>
        </w:tblPrEx>
        <w:trPr>
          <w:trHeight w:val="804" w:hRule="atLeast"/>
        </w:trPr>
        <w:tc>
          <w:tcPr>
            <w:tcW w:w="286" w:type="pct"/>
            <w:vMerge w:val="continue"/>
            <w:tcBorders>
              <w:top w:val="single" w:color="auto" w:sz="4" w:space="0"/>
              <w:left w:val="single" w:color="auto" w:sz="4" w:space="0"/>
              <w:bottom w:val="single" w:color="auto" w:sz="4" w:space="0"/>
              <w:right w:val="single" w:color="auto" w:sz="4" w:space="0"/>
            </w:tcBorders>
            <w:vAlign w:val="center"/>
          </w:tcPr>
          <w:p w14:paraId="5C794CEE">
            <w:pPr>
              <w:widowControl/>
              <w:adjustRightInd w:val="0"/>
              <w:snapToGrid w:val="0"/>
              <w:spacing w:line="240" w:lineRule="auto"/>
              <w:ind w:firstLine="400"/>
              <w:jc w:val="left"/>
              <w:rPr>
                <w:rFonts w:ascii="宋体" w:hAnsi="宋体" w:cs="宋体"/>
                <w:color w:val="000000"/>
                <w:kern w:val="0"/>
                <w:sz w:val="20"/>
                <w:szCs w:val="20"/>
              </w:rPr>
            </w:pPr>
          </w:p>
        </w:tc>
        <w:tc>
          <w:tcPr>
            <w:tcW w:w="286" w:type="pct"/>
            <w:vMerge w:val="continue"/>
            <w:tcBorders>
              <w:top w:val="single" w:color="auto" w:sz="4" w:space="0"/>
              <w:left w:val="single" w:color="auto" w:sz="4" w:space="0"/>
              <w:bottom w:val="single" w:color="auto" w:sz="4" w:space="0"/>
              <w:right w:val="single" w:color="auto" w:sz="4" w:space="0"/>
            </w:tcBorders>
            <w:vAlign w:val="center"/>
          </w:tcPr>
          <w:p w14:paraId="5B47BB6E">
            <w:pPr>
              <w:widowControl/>
              <w:adjustRightInd w:val="0"/>
              <w:snapToGrid w:val="0"/>
              <w:spacing w:line="240" w:lineRule="auto"/>
              <w:ind w:firstLine="400"/>
              <w:jc w:val="left"/>
              <w:rPr>
                <w:rFonts w:ascii="宋体" w:hAnsi="宋体" w:cs="宋体"/>
                <w:color w:val="000000"/>
                <w:kern w:val="0"/>
                <w:sz w:val="20"/>
                <w:szCs w:val="20"/>
              </w:rPr>
            </w:pPr>
          </w:p>
        </w:tc>
        <w:tc>
          <w:tcPr>
            <w:tcW w:w="422" w:type="pct"/>
            <w:tcBorders>
              <w:top w:val="single" w:color="auto" w:sz="4" w:space="0"/>
              <w:left w:val="nil"/>
              <w:bottom w:val="single" w:color="auto" w:sz="4" w:space="0"/>
              <w:right w:val="single" w:color="auto" w:sz="4" w:space="0"/>
            </w:tcBorders>
            <w:vAlign w:val="center"/>
          </w:tcPr>
          <w:p w14:paraId="021EEE65">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482" w:type="pct"/>
            <w:tcBorders>
              <w:top w:val="single" w:color="auto" w:sz="4" w:space="0"/>
              <w:left w:val="nil"/>
              <w:bottom w:val="single" w:color="auto" w:sz="4" w:space="0"/>
              <w:right w:val="single" w:color="auto" w:sz="4" w:space="0"/>
            </w:tcBorders>
            <w:vAlign w:val="center"/>
          </w:tcPr>
          <w:p w14:paraId="713AB81B">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符合相关的预算财务管理制度的规定，符合相关规定的开支范围　</w:t>
            </w:r>
          </w:p>
        </w:tc>
        <w:tc>
          <w:tcPr>
            <w:tcW w:w="489" w:type="pct"/>
            <w:tcBorders>
              <w:top w:val="single" w:color="auto" w:sz="4" w:space="0"/>
              <w:left w:val="nil"/>
              <w:bottom w:val="single" w:color="auto" w:sz="4" w:space="0"/>
              <w:right w:val="single" w:color="auto" w:sz="4" w:space="0"/>
            </w:tcBorders>
            <w:vAlign w:val="center"/>
          </w:tcPr>
          <w:p w14:paraId="20A72210">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271" w:type="pct"/>
            <w:tcBorders>
              <w:top w:val="single" w:color="auto" w:sz="4" w:space="0"/>
              <w:left w:val="nil"/>
              <w:bottom w:val="single" w:color="auto" w:sz="4" w:space="0"/>
              <w:right w:val="single" w:color="auto" w:sz="4" w:space="0"/>
            </w:tcBorders>
            <w:noWrap/>
            <w:vAlign w:val="center"/>
          </w:tcPr>
          <w:p w14:paraId="27FBA488">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2</w:t>
            </w:r>
          </w:p>
        </w:tc>
        <w:tc>
          <w:tcPr>
            <w:tcW w:w="284" w:type="pct"/>
            <w:tcBorders>
              <w:top w:val="single" w:color="auto" w:sz="4" w:space="0"/>
              <w:left w:val="nil"/>
              <w:bottom w:val="single" w:color="auto" w:sz="4" w:space="0"/>
              <w:right w:val="nil"/>
            </w:tcBorders>
            <w:noWrap/>
            <w:vAlign w:val="center"/>
          </w:tcPr>
          <w:p w14:paraId="0DD26599">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2</w:t>
            </w:r>
          </w:p>
        </w:tc>
        <w:tc>
          <w:tcPr>
            <w:tcW w:w="1389" w:type="pct"/>
            <w:tcBorders>
              <w:top w:val="single" w:color="auto" w:sz="4" w:space="0"/>
              <w:left w:val="single" w:color="auto" w:sz="4" w:space="0"/>
              <w:bottom w:val="single" w:color="auto" w:sz="4" w:space="0"/>
              <w:right w:val="single" w:color="auto" w:sz="4" w:space="0"/>
            </w:tcBorders>
            <w:vAlign w:val="center"/>
          </w:tcPr>
          <w:p w14:paraId="2F8766F8">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087" w:type="pct"/>
            <w:tcBorders>
              <w:top w:val="single" w:color="auto" w:sz="4" w:space="0"/>
              <w:left w:val="nil"/>
              <w:bottom w:val="single" w:color="auto" w:sz="4" w:space="0"/>
              <w:right w:val="single" w:color="auto" w:sz="4" w:space="0"/>
            </w:tcBorders>
            <w:vAlign w:val="center"/>
          </w:tcPr>
          <w:p w14:paraId="511C28B8">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14:paraId="500C1ED4">
        <w:tblPrEx>
          <w:tblCellMar>
            <w:top w:w="0" w:type="dxa"/>
            <w:left w:w="108" w:type="dxa"/>
            <w:bottom w:w="0" w:type="dxa"/>
            <w:right w:w="108" w:type="dxa"/>
          </w:tblCellMar>
        </w:tblPrEx>
        <w:trPr>
          <w:trHeight w:val="1035" w:hRule="atLeast"/>
        </w:trPr>
        <w:tc>
          <w:tcPr>
            <w:tcW w:w="286" w:type="pct"/>
            <w:vMerge w:val="continue"/>
            <w:tcBorders>
              <w:top w:val="single" w:color="auto" w:sz="4" w:space="0"/>
              <w:left w:val="single" w:color="auto" w:sz="4" w:space="0"/>
              <w:bottom w:val="single" w:color="000000" w:sz="4" w:space="0"/>
              <w:right w:val="single" w:color="auto" w:sz="4" w:space="0"/>
            </w:tcBorders>
            <w:vAlign w:val="center"/>
          </w:tcPr>
          <w:p w14:paraId="57D07C0C">
            <w:pPr>
              <w:widowControl/>
              <w:ind w:firstLine="400"/>
              <w:jc w:val="left"/>
              <w:rPr>
                <w:rFonts w:ascii="宋体" w:hAnsi="宋体" w:cs="宋体"/>
                <w:color w:val="000000"/>
                <w:kern w:val="0"/>
                <w:sz w:val="20"/>
                <w:szCs w:val="20"/>
              </w:rPr>
            </w:pPr>
          </w:p>
        </w:tc>
        <w:tc>
          <w:tcPr>
            <w:tcW w:w="286" w:type="pct"/>
            <w:vMerge w:val="continue"/>
            <w:tcBorders>
              <w:top w:val="single" w:color="auto" w:sz="4" w:space="0"/>
              <w:left w:val="single" w:color="auto" w:sz="4" w:space="0"/>
              <w:bottom w:val="single" w:color="auto" w:sz="4" w:space="0"/>
              <w:right w:val="single" w:color="auto" w:sz="4" w:space="0"/>
            </w:tcBorders>
            <w:vAlign w:val="center"/>
          </w:tcPr>
          <w:p w14:paraId="7C68C846">
            <w:pPr>
              <w:widowControl/>
              <w:ind w:firstLine="400"/>
              <w:jc w:val="left"/>
              <w:rPr>
                <w:rFonts w:ascii="宋体" w:hAnsi="宋体" w:cs="宋体"/>
                <w:color w:val="000000"/>
                <w:kern w:val="0"/>
                <w:sz w:val="20"/>
                <w:szCs w:val="20"/>
              </w:rPr>
            </w:pPr>
          </w:p>
        </w:tc>
        <w:tc>
          <w:tcPr>
            <w:tcW w:w="422" w:type="pct"/>
            <w:tcBorders>
              <w:top w:val="single" w:color="auto" w:sz="4" w:space="0"/>
              <w:left w:val="nil"/>
              <w:bottom w:val="single" w:color="auto" w:sz="4" w:space="0"/>
              <w:right w:val="single" w:color="auto" w:sz="4" w:space="0"/>
            </w:tcBorders>
            <w:vAlign w:val="center"/>
          </w:tcPr>
          <w:p w14:paraId="52C6F8A5">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482" w:type="pct"/>
            <w:tcBorders>
              <w:top w:val="single" w:color="auto" w:sz="4" w:space="0"/>
              <w:left w:val="nil"/>
              <w:bottom w:val="single" w:color="auto" w:sz="4" w:space="0"/>
              <w:right w:val="single" w:color="auto" w:sz="4" w:space="0"/>
            </w:tcBorders>
            <w:vAlign w:val="center"/>
          </w:tcPr>
          <w:p w14:paraId="7F3190B6">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会计基础信息完善　</w:t>
            </w:r>
          </w:p>
        </w:tc>
        <w:tc>
          <w:tcPr>
            <w:tcW w:w="489" w:type="pct"/>
            <w:tcBorders>
              <w:top w:val="single" w:color="auto" w:sz="4" w:space="0"/>
              <w:left w:val="nil"/>
              <w:bottom w:val="single" w:color="auto" w:sz="4" w:space="0"/>
              <w:right w:val="single" w:color="auto" w:sz="4" w:space="0"/>
            </w:tcBorders>
            <w:vAlign w:val="center"/>
          </w:tcPr>
          <w:p w14:paraId="63D2B5FA">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271" w:type="pct"/>
            <w:tcBorders>
              <w:top w:val="single" w:color="auto" w:sz="4" w:space="0"/>
              <w:left w:val="nil"/>
              <w:bottom w:val="single" w:color="auto" w:sz="4" w:space="0"/>
              <w:right w:val="single" w:color="auto" w:sz="4" w:space="0"/>
            </w:tcBorders>
            <w:noWrap/>
            <w:vAlign w:val="center"/>
          </w:tcPr>
          <w:p w14:paraId="1756EA2E">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1</w:t>
            </w:r>
          </w:p>
        </w:tc>
        <w:tc>
          <w:tcPr>
            <w:tcW w:w="284" w:type="pct"/>
            <w:tcBorders>
              <w:top w:val="single" w:color="auto" w:sz="4" w:space="0"/>
              <w:left w:val="nil"/>
              <w:bottom w:val="single" w:color="auto" w:sz="4" w:space="0"/>
              <w:right w:val="nil"/>
            </w:tcBorders>
            <w:noWrap/>
            <w:vAlign w:val="center"/>
          </w:tcPr>
          <w:p w14:paraId="37BDFFCF">
            <w:pPr>
              <w:widowControl/>
              <w:adjustRightInd w:val="0"/>
              <w:snapToGrid w:val="0"/>
              <w:spacing w:line="240" w:lineRule="auto"/>
              <w:ind w:firstLineChars="100"/>
              <w:rPr>
                <w:rFonts w:ascii="宋体" w:hAnsi="宋体" w:cs="宋体"/>
                <w:color w:val="000000"/>
                <w:kern w:val="0"/>
                <w:sz w:val="20"/>
                <w:szCs w:val="20"/>
              </w:rPr>
            </w:pPr>
            <w:r>
              <w:rPr>
                <w:rFonts w:ascii="宋体" w:hAnsi="宋体" w:cs="宋体"/>
                <w:color w:val="000000"/>
                <w:kern w:val="0"/>
                <w:sz w:val="20"/>
                <w:szCs w:val="20"/>
              </w:rPr>
              <w:t>1</w:t>
            </w:r>
          </w:p>
        </w:tc>
        <w:tc>
          <w:tcPr>
            <w:tcW w:w="1389" w:type="pct"/>
            <w:tcBorders>
              <w:top w:val="single" w:color="auto" w:sz="4" w:space="0"/>
              <w:left w:val="single" w:color="auto" w:sz="4" w:space="0"/>
              <w:bottom w:val="single" w:color="auto" w:sz="4" w:space="0"/>
              <w:right w:val="single" w:color="auto" w:sz="4" w:space="0"/>
            </w:tcBorders>
            <w:vAlign w:val="center"/>
          </w:tcPr>
          <w:p w14:paraId="2F49B1E5">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087" w:type="pct"/>
            <w:tcBorders>
              <w:top w:val="single" w:color="auto" w:sz="4" w:space="0"/>
              <w:left w:val="nil"/>
              <w:bottom w:val="single" w:color="auto" w:sz="4" w:space="0"/>
              <w:right w:val="single" w:color="auto" w:sz="4" w:space="0"/>
            </w:tcBorders>
            <w:vAlign w:val="center"/>
          </w:tcPr>
          <w:p w14:paraId="59DAC34E">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14:paraId="6CA70E98">
        <w:tblPrEx>
          <w:tblCellMar>
            <w:top w:w="0" w:type="dxa"/>
            <w:left w:w="108" w:type="dxa"/>
            <w:bottom w:w="0" w:type="dxa"/>
            <w:right w:w="108" w:type="dxa"/>
          </w:tblCellMar>
        </w:tblPrEx>
        <w:trPr>
          <w:trHeight w:val="2220" w:hRule="atLeast"/>
        </w:trPr>
        <w:tc>
          <w:tcPr>
            <w:tcW w:w="286" w:type="pct"/>
            <w:vMerge w:val="continue"/>
            <w:tcBorders>
              <w:top w:val="nil"/>
              <w:left w:val="single" w:color="auto" w:sz="4" w:space="0"/>
              <w:bottom w:val="single" w:color="000000" w:sz="4" w:space="0"/>
              <w:right w:val="single" w:color="auto" w:sz="4" w:space="0"/>
            </w:tcBorders>
            <w:vAlign w:val="center"/>
          </w:tcPr>
          <w:p w14:paraId="6C758E90">
            <w:pPr>
              <w:widowControl/>
              <w:ind w:firstLine="400"/>
              <w:jc w:val="left"/>
              <w:rPr>
                <w:rFonts w:ascii="宋体" w:hAnsi="宋体" w:cs="宋体"/>
                <w:color w:val="000000"/>
                <w:kern w:val="0"/>
                <w:sz w:val="20"/>
                <w:szCs w:val="20"/>
              </w:rPr>
            </w:pPr>
          </w:p>
        </w:tc>
        <w:tc>
          <w:tcPr>
            <w:tcW w:w="286" w:type="pct"/>
            <w:tcBorders>
              <w:top w:val="single" w:color="auto" w:sz="4" w:space="0"/>
              <w:left w:val="single" w:color="auto" w:sz="4" w:space="0"/>
              <w:bottom w:val="single" w:color="auto" w:sz="4" w:space="0"/>
              <w:right w:val="single" w:color="auto" w:sz="4" w:space="0"/>
            </w:tcBorders>
            <w:vAlign w:val="center"/>
          </w:tcPr>
          <w:p w14:paraId="5E9F8D57">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422" w:type="pct"/>
            <w:tcBorders>
              <w:top w:val="single" w:color="auto" w:sz="4" w:space="0"/>
              <w:left w:val="single" w:color="auto" w:sz="4" w:space="0"/>
              <w:bottom w:val="single" w:color="auto" w:sz="4" w:space="0"/>
              <w:right w:val="single" w:color="auto" w:sz="4" w:space="0"/>
            </w:tcBorders>
            <w:vAlign w:val="center"/>
          </w:tcPr>
          <w:p w14:paraId="2876EA78">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482" w:type="pct"/>
            <w:tcBorders>
              <w:top w:val="single" w:color="auto" w:sz="4" w:space="0"/>
              <w:left w:val="single" w:color="auto" w:sz="4" w:space="0"/>
              <w:bottom w:val="single" w:color="auto" w:sz="4" w:space="0"/>
              <w:right w:val="single" w:color="auto" w:sz="4" w:space="0"/>
            </w:tcBorders>
            <w:vAlign w:val="center"/>
          </w:tcPr>
          <w:p w14:paraId="4BB7C492">
            <w:pPr>
              <w:widowControl/>
              <w:adjustRightInd w:val="0"/>
              <w:snapToGrid w:val="0"/>
              <w:spacing w:line="240" w:lineRule="auto"/>
              <w:ind w:firstLine="0" w:firstLineChars="0"/>
              <w:jc w:val="left"/>
              <w:rPr>
                <w:rFonts w:ascii="宋体" w:hAnsi="宋体" w:cs="宋体"/>
                <w:color w:val="000000"/>
                <w:kern w:val="0"/>
                <w:sz w:val="20"/>
                <w:szCs w:val="20"/>
              </w:rPr>
            </w:pPr>
            <w:r>
              <w:rPr>
                <w:rFonts w:hint="eastAsia" w:ascii="宋体" w:hAnsi="宋体" w:cs="宋体"/>
                <w:color w:val="000000"/>
                <w:kern w:val="0"/>
                <w:sz w:val="20"/>
                <w:szCs w:val="20"/>
              </w:rPr>
              <w:t>资产安全完整、配置合理、处理规范</w:t>
            </w:r>
          </w:p>
        </w:tc>
        <w:tc>
          <w:tcPr>
            <w:tcW w:w="489" w:type="pct"/>
            <w:tcBorders>
              <w:top w:val="single" w:color="auto" w:sz="4" w:space="0"/>
              <w:left w:val="single" w:color="auto" w:sz="4" w:space="0"/>
              <w:bottom w:val="single" w:color="auto" w:sz="4" w:space="0"/>
              <w:right w:val="single" w:color="auto" w:sz="4" w:space="0"/>
            </w:tcBorders>
            <w:vAlign w:val="center"/>
          </w:tcPr>
          <w:p w14:paraId="1A7928F4">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271" w:type="pct"/>
            <w:tcBorders>
              <w:top w:val="single" w:color="auto" w:sz="4" w:space="0"/>
              <w:left w:val="single" w:color="auto" w:sz="4" w:space="0"/>
              <w:bottom w:val="single" w:color="auto" w:sz="4" w:space="0"/>
              <w:right w:val="single" w:color="auto" w:sz="4" w:space="0"/>
            </w:tcBorders>
            <w:vAlign w:val="center"/>
          </w:tcPr>
          <w:p w14:paraId="77221C30">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284" w:type="pct"/>
            <w:tcBorders>
              <w:top w:val="single" w:color="auto" w:sz="4" w:space="0"/>
              <w:left w:val="single" w:color="auto" w:sz="4" w:space="0"/>
              <w:bottom w:val="single" w:color="auto" w:sz="4" w:space="0"/>
              <w:right w:val="single" w:color="auto" w:sz="4" w:space="0"/>
            </w:tcBorders>
            <w:vAlign w:val="center"/>
          </w:tcPr>
          <w:p w14:paraId="246A5572">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1389" w:type="pct"/>
            <w:tcBorders>
              <w:top w:val="single" w:color="auto" w:sz="4" w:space="0"/>
              <w:left w:val="single" w:color="auto" w:sz="4" w:space="0"/>
              <w:bottom w:val="single" w:color="auto" w:sz="4" w:space="0"/>
              <w:right w:val="single" w:color="auto" w:sz="4" w:space="0"/>
            </w:tcBorders>
            <w:vAlign w:val="center"/>
          </w:tcPr>
          <w:p w14:paraId="1BE2F298">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087" w:type="pct"/>
            <w:tcBorders>
              <w:top w:val="single" w:color="auto" w:sz="4" w:space="0"/>
              <w:left w:val="single" w:color="auto" w:sz="4" w:space="0"/>
              <w:bottom w:val="single" w:color="auto" w:sz="4" w:space="0"/>
              <w:right w:val="single" w:color="auto" w:sz="4" w:space="0"/>
            </w:tcBorders>
            <w:vAlign w:val="center"/>
          </w:tcPr>
          <w:p w14:paraId="51863346">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14:paraId="2CCC6F40">
        <w:tblPrEx>
          <w:tblCellMar>
            <w:top w:w="0" w:type="dxa"/>
            <w:left w:w="108" w:type="dxa"/>
            <w:bottom w:w="0" w:type="dxa"/>
            <w:right w:w="108" w:type="dxa"/>
          </w:tblCellMar>
        </w:tblPrEx>
        <w:trPr>
          <w:trHeight w:val="1135" w:hRule="atLeast"/>
        </w:trPr>
        <w:tc>
          <w:tcPr>
            <w:tcW w:w="286" w:type="pct"/>
            <w:vMerge w:val="continue"/>
            <w:tcBorders>
              <w:top w:val="nil"/>
              <w:left w:val="single" w:color="auto" w:sz="4" w:space="0"/>
              <w:bottom w:val="single" w:color="000000" w:sz="4" w:space="0"/>
              <w:right w:val="single" w:color="auto" w:sz="4" w:space="0"/>
            </w:tcBorders>
            <w:vAlign w:val="center"/>
          </w:tcPr>
          <w:p w14:paraId="4764C5E7">
            <w:pPr>
              <w:widowControl/>
              <w:ind w:firstLine="400"/>
              <w:jc w:val="left"/>
              <w:rPr>
                <w:rFonts w:ascii="宋体" w:hAnsi="宋体" w:cs="宋体"/>
                <w:color w:val="000000"/>
                <w:kern w:val="0"/>
                <w:sz w:val="20"/>
                <w:szCs w:val="20"/>
              </w:rPr>
            </w:pPr>
          </w:p>
        </w:tc>
        <w:tc>
          <w:tcPr>
            <w:tcW w:w="286" w:type="pct"/>
            <w:tcBorders>
              <w:top w:val="single" w:color="auto" w:sz="4" w:space="0"/>
              <w:left w:val="nil"/>
              <w:bottom w:val="single" w:color="auto" w:sz="4" w:space="0"/>
              <w:right w:val="single" w:color="auto" w:sz="4" w:space="0"/>
            </w:tcBorders>
            <w:vAlign w:val="center"/>
          </w:tcPr>
          <w:p w14:paraId="2161354F">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422" w:type="pct"/>
            <w:tcBorders>
              <w:top w:val="single" w:color="auto" w:sz="4" w:space="0"/>
              <w:left w:val="nil"/>
              <w:bottom w:val="single" w:color="auto" w:sz="4" w:space="0"/>
              <w:right w:val="single" w:color="auto" w:sz="4" w:space="0"/>
            </w:tcBorders>
            <w:vAlign w:val="center"/>
          </w:tcPr>
          <w:p w14:paraId="347BB8A4">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482" w:type="pct"/>
            <w:tcBorders>
              <w:top w:val="single" w:color="auto" w:sz="4" w:space="0"/>
              <w:left w:val="nil"/>
              <w:bottom w:val="single" w:color="auto" w:sz="4" w:space="0"/>
              <w:right w:val="single" w:color="auto" w:sz="4" w:space="0"/>
            </w:tcBorders>
            <w:vAlign w:val="center"/>
          </w:tcPr>
          <w:p w14:paraId="528E80DC">
            <w:pPr>
              <w:widowControl/>
              <w:adjustRightInd w:val="0"/>
              <w:snapToGrid w:val="0"/>
              <w:spacing w:line="240" w:lineRule="auto"/>
              <w:ind w:firstLine="400"/>
              <w:jc w:val="left"/>
              <w:rPr>
                <w:rFonts w:ascii="宋体" w:hAnsi="宋体" w:cs="宋体"/>
                <w:color w:val="000000"/>
                <w:kern w:val="0"/>
                <w:sz w:val="20"/>
                <w:szCs w:val="20"/>
              </w:rPr>
            </w:pPr>
          </w:p>
        </w:tc>
        <w:tc>
          <w:tcPr>
            <w:tcW w:w="489" w:type="pct"/>
            <w:tcBorders>
              <w:top w:val="single" w:color="auto" w:sz="4" w:space="0"/>
              <w:left w:val="nil"/>
              <w:bottom w:val="single" w:color="auto" w:sz="4" w:space="0"/>
              <w:right w:val="single" w:color="auto" w:sz="4" w:space="0"/>
            </w:tcBorders>
            <w:vAlign w:val="center"/>
          </w:tcPr>
          <w:p w14:paraId="4FBEB5F9">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271" w:type="pct"/>
            <w:tcBorders>
              <w:top w:val="single" w:color="auto" w:sz="4" w:space="0"/>
              <w:left w:val="nil"/>
              <w:bottom w:val="single" w:color="auto" w:sz="4" w:space="0"/>
              <w:right w:val="single" w:color="auto" w:sz="4" w:space="0"/>
            </w:tcBorders>
            <w:vAlign w:val="center"/>
          </w:tcPr>
          <w:p w14:paraId="224435C2">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284" w:type="pct"/>
            <w:tcBorders>
              <w:top w:val="single" w:color="auto" w:sz="4" w:space="0"/>
              <w:left w:val="nil"/>
              <w:bottom w:val="single" w:color="auto" w:sz="4" w:space="0"/>
              <w:right w:val="nil"/>
            </w:tcBorders>
            <w:vAlign w:val="center"/>
          </w:tcPr>
          <w:p w14:paraId="1BB2B5F0">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1389" w:type="pct"/>
            <w:tcBorders>
              <w:top w:val="single" w:color="auto" w:sz="4" w:space="0"/>
              <w:left w:val="single" w:color="auto" w:sz="4" w:space="0"/>
              <w:bottom w:val="single" w:color="auto" w:sz="4" w:space="0"/>
              <w:right w:val="single" w:color="auto" w:sz="4" w:space="0"/>
            </w:tcBorders>
            <w:vAlign w:val="center"/>
          </w:tcPr>
          <w:p w14:paraId="3406C328">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087" w:type="pct"/>
            <w:tcBorders>
              <w:top w:val="single" w:color="auto" w:sz="4" w:space="0"/>
              <w:left w:val="nil"/>
              <w:bottom w:val="single" w:color="auto" w:sz="4" w:space="0"/>
              <w:right w:val="single" w:color="auto" w:sz="4" w:space="0"/>
            </w:tcBorders>
            <w:vAlign w:val="center"/>
          </w:tcPr>
          <w:p w14:paraId="08AA7888">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14:paraId="20DC6D06">
        <w:tblPrEx>
          <w:tblCellMar>
            <w:top w:w="0" w:type="dxa"/>
            <w:left w:w="108" w:type="dxa"/>
            <w:bottom w:w="0" w:type="dxa"/>
            <w:right w:w="108" w:type="dxa"/>
          </w:tblCellMar>
        </w:tblPrEx>
        <w:trPr>
          <w:trHeight w:val="394" w:hRule="atLeast"/>
        </w:trPr>
        <w:tc>
          <w:tcPr>
            <w:tcW w:w="286" w:type="pct"/>
            <w:vMerge w:val="continue"/>
            <w:tcBorders>
              <w:top w:val="nil"/>
              <w:left w:val="single" w:color="auto" w:sz="4" w:space="0"/>
              <w:bottom w:val="single" w:color="000000" w:sz="4" w:space="0"/>
              <w:right w:val="single" w:color="auto" w:sz="4" w:space="0"/>
            </w:tcBorders>
            <w:vAlign w:val="center"/>
          </w:tcPr>
          <w:p w14:paraId="2311E79B">
            <w:pPr>
              <w:widowControl/>
              <w:ind w:firstLine="400"/>
              <w:jc w:val="left"/>
              <w:rPr>
                <w:rFonts w:ascii="宋体" w:hAnsi="宋体" w:cs="宋体"/>
                <w:color w:val="000000"/>
                <w:kern w:val="0"/>
                <w:sz w:val="20"/>
                <w:szCs w:val="20"/>
              </w:rPr>
            </w:pPr>
          </w:p>
        </w:tc>
        <w:tc>
          <w:tcPr>
            <w:tcW w:w="286" w:type="pct"/>
            <w:tcBorders>
              <w:top w:val="single" w:color="auto" w:sz="4" w:space="0"/>
              <w:left w:val="nil"/>
              <w:bottom w:val="single" w:color="auto" w:sz="4" w:space="0"/>
              <w:right w:val="single" w:color="auto" w:sz="4" w:space="0"/>
            </w:tcBorders>
            <w:vAlign w:val="center"/>
          </w:tcPr>
          <w:p w14:paraId="24492C92">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指标　</w:t>
            </w:r>
          </w:p>
        </w:tc>
        <w:tc>
          <w:tcPr>
            <w:tcW w:w="904" w:type="pct"/>
            <w:gridSpan w:val="2"/>
            <w:tcBorders>
              <w:top w:val="single" w:color="auto" w:sz="4" w:space="0"/>
              <w:left w:val="nil"/>
              <w:bottom w:val="single" w:color="auto" w:sz="4" w:space="0"/>
              <w:right w:val="single" w:color="000000" w:sz="4" w:space="0"/>
            </w:tcBorders>
            <w:vAlign w:val="center"/>
          </w:tcPr>
          <w:p w14:paraId="33C9E7C2">
            <w:pPr>
              <w:widowControl/>
              <w:adjustRightInd w:val="0"/>
              <w:snapToGrid w:val="0"/>
              <w:spacing w:line="240" w:lineRule="auto"/>
              <w:ind w:firstLine="600" w:firstLineChars="300"/>
              <w:rPr>
                <w:rFonts w:ascii="宋体" w:hAnsi="宋体" w:cs="宋体"/>
                <w:color w:val="000000"/>
                <w:kern w:val="0"/>
                <w:sz w:val="20"/>
                <w:szCs w:val="20"/>
              </w:rPr>
            </w:pPr>
            <w:r>
              <w:rPr>
                <w:rFonts w:hint="eastAsia" w:ascii="宋体" w:hAnsi="宋体" w:cs="宋体"/>
                <w:color w:val="000000"/>
                <w:kern w:val="0"/>
                <w:sz w:val="20"/>
                <w:szCs w:val="20"/>
              </w:rPr>
              <w:t>2021年</w:t>
            </w:r>
          </w:p>
        </w:tc>
        <w:tc>
          <w:tcPr>
            <w:tcW w:w="489" w:type="pct"/>
            <w:tcBorders>
              <w:top w:val="single" w:color="auto" w:sz="4" w:space="0"/>
              <w:left w:val="nil"/>
              <w:bottom w:val="single" w:color="auto" w:sz="4" w:space="0"/>
              <w:right w:val="single" w:color="auto" w:sz="4" w:space="0"/>
            </w:tcBorders>
            <w:vAlign w:val="center"/>
          </w:tcPr>
          <w:p w14:paraId="36577196">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2022年</w:t>
            </w:r>
          </w:p>
        </w:tc>
        <w:tc>
          <w:tcPr>
            <w:tcW w:w="271" w:type="pct"/>
            <w:tcBorders>
              <w:top w:val="single" w:color="auto" w:sz="4" w:space="0"/>
              <w:left w:val="nil"/>
              <w:bottom w:val="single" w:color="auto" w:sz="4" w:space="0"/>
              <w:right w:val="single" w:color="auto" w:sz="4" w:space="0"/>
            </w:tcBorders>
            <w:vAlign w:val="center"/>
          </w:tcPr>
          <w:p w14:paraId="41AA157E">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4" w:type="pct"/>
            <w:tcBorders>
              <w:top w:val="single" w:color="auto" w:sz="4" w:space="0"/>
              <w:left w:val="nil"/>
              <w:bottom w:val="single" w:color="auto" w:sz="4" w:space="0"/>
              <w:right w:val="single" w:color="auto" w:sz="4" w:space="0"/>
            </w:tcBorders>
            <w:vAlign w:val="center"/>
          </w:tcPr>
          <w:p w14:paraId="7E75C524">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89" w:type="pct"/>
            <w:tcBorders>
              <w:top w:val="single" w:color="auto" w:sz="4" w:space="0"/>
              <w:left w:val="single" w:color="auto" w:sz="4" w:space="0"/>
              <w:bottom w:val="single" w:color="auto" w:sz="4" w:space="0"/>
              <w:right w:val="single" w:color="auto" w:sz="4" w:space="0"/>
            </w:tcBorders>
            <w:vAlign w:val="center"/>
          </w:tcPr>
          <w:p w14:paraId="09A72667">
            <w:pPr>
              <w:widowControl/>
              <w:adjustRightInd w:val="0"/>
              <w:snapToGrid w:val="0"/>
              <w:spacing w:line="240" w:lineRule="auto"/>
              <w:ind w:firstLine="360"/>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87" w:type="pct"/>
            <w:tcBorders>
              <w:top w:val="single" w:color="auto" w:sz="4" w:space="0"/>
              <w:left w:val="nil"/>
              <w:bottom w:val="single" w:color="auto" w:sz="4" w:space="0"/>
              <w:right w:val="single" w:color="auto" w:sz="4" w:space="0"/>
            </w:tcBorders>
            <w:vAlign w:val="center"/>
          </w:tcPr>
          <w:p w14:paraId="0DEBE66D">
            <w:pPr>
              <w:widowControl/>
              <w:adjustRightInd w:val="0"/>
              <w:snapToGrid w:val="0"/>
              <w:spacing w:line="240" w:lineRule="auto"/>
              <w:ind w:firstLine="360"/>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3ED6EE94">
        <w:tblPrEx>
          <w:tblCellMar>
            <w:top w:w="0" w:type="dxa"/>
            <w:left w:w="108" w:type="dxa"/>
            <w:bottom w:w="0" w:type="dxa"/>
            <w:right w:w="108" w:type="dxa"/>
          </w:tblCellMar>
        </w:tblPrEx>
        <w:trPr>
          <w:trHeight w:val="1365" w:hRule="atLeast"/>
        </w:trPr>
        <w:tc>
          <w:tcPr>
            <w:tcW w:w="286" w:type="pct"/>
            <w:vMerge w:val="continue"/>
            <w:tcBorders>
              <w:top w:val="nil"/>
              <w:left w:val="single" w:color="auto" w:sz="4" w:space="0"/>
              <w:bottom w:val="single" w:color="000000" w:sz="4" w:space="0"/>
              <w:right w:val="single" w:color="auto" w:sz="4" w:space="0"/>
            </w:tcBorders>
            <w:vAlign w:val="center"/>
          </w:tcPr>
          <w:p w14:paraId="7B9FCE0C">
            <w:pPr>
              <w:widowControl/>
              <w:ind w:firstLine="400"/>
              <w:jc w:val="left"/>
              <w:rPr>
                <w:rFonts w:ascii="宋体" w:hAnsi="宋体" w:cs="宋体"/>
                <w:color w:val="000000"/>
                <w:kern w:val="0"/>
                <w:sz w:val="20"/>
                <w:szCs w:val="20"/>
              </w:rPr>
            </w:pPr>
          </w:p>
        </w:tc>
        <w:tc>
          <w:tcPr>
            <w:tcW w:w="286" w:type="pct"/>
            <w:tcBorders>
              <w:top w:val="nil"/>
              <w:left w:val="nil"/>
              <w:bottom w:val="single" w:color="auto" w:sz="4" w:space="0"/>
              <w:right w:val="single" w:color="auto" w:sz="4" w:space="0"/>
            </w:tcBorders>
            <w:vAlign w:val="center"/>
          </w:tcPr>
          <w:p w14:paraId="39B049ED">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904" w:type="pct"/>
            <w:gridSpan w:val="2"/>
            <w:tcBorders>
              <w:top w:val="single" w:color="auto" w:sz="4" w:space="0"/>
              <w:left w:val="nil"/>
              <w:bottom w:val="single" w:color="auto" w:sz="4" w:space="0"/>
              <w:right w:val="single" w:color="000000" w:sz="4" w:space="0"/>
            </w:tcBorders>
            <w:vAlign w:val="center"/>
          </w:tcPr>
          <w:p w14:paraId="73D4E5C8">
            <w:pPr>
              <w:widowControl/>
              <w:adjustRightInd w:val="0"/>
              <w:snapToGrid w:val="0"/>
              <w:spacing w:line="240" w:lineRule="auto"/>
              <w:ind w:firstLine="400"/>
              <w:jc w:val="center"/>
              <w:rPr>
                <w:rFonts w:ascii="宋体" w:hAnsi="宋体" w:cs="宋体"/>
                <w:color w:val="000000"/>
                <w:kern w:val="0"/>
                <w:sz w:val="20"/>
                <w:szCs w:val="20"/>
              </w:rPr>
            </w:pPr>
            <w:r>
              <w:rPr>
                <w:rFonts w:hint="eastAsia" w:ascii="宋体" w:hAnsi="宋体" w:cs="宋体"/>
                <w:color w:val="000000"/>
                <w:kern w:val="0"/>
                <w:sz w:val="20"/>
                <w:szCs w:val="20"/>
              </w:rPr>
              <w:t>4.75</w:t>
            </w:r>
            <w:r>
              <w:rPr>
                <w:rFonts w:ascii="宋体" w:hAnsi="宋体" w:cs="宋体"/>
                <w:color w:val="000000"/>
                <w:kern w:val="0"/>
                <w:sz w:val="20"/>
                <w:szCs w:val="20"/>
              </w:rPr>
              <w:t>%</w:t>
            </w:r>
            <w:r>
              <w:rPr>
                <w:rFonts w:hint="eastAsia" w:ascii="宋体" w:hAnsi="宋体" w:cs="宋体"/>
                <w:color w:val="000000"/>
                <w:kern w:val="0"/>
                <w:sz w:val="20"/>
                <w:szCs w:val="20"/>
              </w:rPr>
              <w:t>　</w:t>
            </w:r>
          </w:p>
        </w:tc>
        <w:tc>
          <w:tcPr>
            <w:tcW w:w="489" w:type="pct"/>
            <w:tcBorders>
              <w:top w:val="nil"/>
              <w:left w:val="nil"/>
              <w:bottom w:val="single" w:color="auto" w:sz="4" w:space="0"/>
              <w:right w:val="single" w:color="auto" w:sz="4" w:space="0"/>
            </w:tcBorders>
            <w:vAlign w:val="center"/>
          </w:tcPr>
          <w:p w14:paraId="3EE6734D">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11.13%</w:t>
            </w:r>
          </w:p>
        </w:tc>
        <w:tc>
          <w:tcPr>
            <w:tcW w:w="271" w:type="pct"/>
            <w:tcBorders>
              <w:top w:val="nil"/>
              <w:left w:val="nil"/>
              <w:bottom w:val="single" w:color="auto" w:sz="4" w:space="0"/>
              <w:right w:val="single" w:color="auto" w:sz="4" w:space="0"/>
            </w:tcBorders>
            <w:vAlign w:val="center"/>
          </w:tcPr>
          <w:p w14:paraId="73FC56E7">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284" w:type="pct"/>
            <w:tcBorders>
              <w:top w:val="nil"/>
              <w:left w:val="nil"/>
              <w:bottom w:val="single" w:color="auto" w:sz="4" w:space="0"/>
              <w:right w:val="nil"/>
            </w:tcBorders>
            <w:vAlign w:val="center"/>
          </w:tcPr>
          <w:p w14:paraId="7E9EAD1E">
            <w:pPr>
              <w:widowControl/>
              <w:adjustRightInd w:val="0"/>
              <w:snapToGrid w:val="0"/>
              <w:spacing w:line="240" w:lineRule="auto"/>
              <w:ind w:firstLineChars="100"/>
              <w:rPr>
                <w:rFonts w:ascii="宋体" w:hAnsi="宋体" w:cs="宋体"/>
                <w:color w:val="000000"/>
                <w:kern w:val="0"/>
                <w:sz w:val="20"/>
                <w:szCs w:val="20"/>
              </w:rPr>
            </w:pPr>
            <w:r>
              <w:rPr>
                <w:rFonts w:hint="eastAsia" w:ascii="宋体" w:hAnsi="宋体" w:cs="宋体"/>
                <w:color w:val="000000"/>
                <w:kern w:val="0"/>
                <w:sz w:val="20"/>
                <w:szCs w:val="20"/>
              </w:rPr>
              <w:t>1．2</w:t>
            </w:r>
          </w:p>
        </w:tc>
        <w:tc>
          <w:tcPr>
            <w:tcW w:w="1389" w:type="pct"/>
            <w:tcBorders>
              <w:top w:val="single" w:color="auto" w:sz="4" w:space="0"/>
              <w:left w:val="single" w:color="auto" w:sz="4" w:space="0"/>
              <w:bottom w:val="single" w:color="auto" w:sz="4" w:space="0"/>
              <w:right w:val="single" w:color="auto" w:sz="4" w:space="0"/>
            </w:tcBorders>
            <w:vAlign w:val="center"/>
          </w:tcPr>
          <w:p w14:paraId="4F682411">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087" w:type="pct"/>
            <w:tcBorders>
              <w:top w:val="single" w:color="auto" w:sz="4" w:space="0"/>
              <w:left w:val="nil"/>
              <w:bottom w:val="single" w:color="auto" w:sz="4" w:space="0"/>
              <w:right w:val="single" w:color="auto" w:sz="4" w:space="0"/>
            </w:tcBorders>
            <w:vAlign w:val="center"/>
          </w:tcPr>
          <w:p w14:paraId="61C927F6">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14:paraId="0F53BA92">
        <w:tblPrEx>
          <w:tblCellMar>
            <w:top w:w="0" w:type="dxa"/>
            <w:left w:w="108" w:type="dxa"/>
            <w:bottom w:w="0" w:type="dxa"/>
            <w:right w:w="108" w:type="dxa"/>
          </w:tblCellMar>
        </w:tblPrEx>
        <w:trPr>
          <w:trHeight w:val="90" w:hRule="atLeast"/>
        </w:trPr>
        <w:tc>
          <w:tcPr>
            <w:tcW w:w="286" w:type="pct"/>
            <w:vMerge w:val="continue"/>
            <w:tcBorders>
              <w:top w:val="nil"/>
              <w:left w:val="single" w:color="auto" w:sz="4" w:space="0"/>
              <w:bottom w:val="single" w:color="000000" w:sz="4" w:space="0"/>
              <w:right w:val="single" w:color="auto" w:sz="4" w:space="0"/>
            </w:tcBorders>
            <w:vAlign w:val="center"/>
          </w:tcPr>
          <w:p w14:paraId="5FEFF7DE">
            <w:pPr>
              <w:widowControl/>
              <w:ind w:firstLine="400"/>
              <w:jc w:val="left"/>
              <w:rPr>
                <w:rFonts w:ascii="宋体" w:hAnsi="宋体" w:cs="宋体"/>
                <w:color w:val="000000"/>
                <w:kern w:val="0"/>
                <w:sz w:val="20"/>
                <w:szCs w:val="20"/>
              </w:rPr>
            </w:pPr>
          </w:p>
        </w:tc>
        <w:tc>
          <w:tcPr>
            <w:tcW w:w="286" w:type="pct"/>
            <w:tcBorders>
              <w:top w:val="nil"/>
              <w:left w:val="nil"/>
              <w:bottom w:val="single" w:color="auto" w:sz="4" w:space="0"/>
              <w:right w:val="single" w:color="auto" w:sz="4" w:space="0"/>
            </w:tcBorders>
            <w:vAlign w:val="center"/>
          </w:tcPr>
          <w:p w14:paraId="6CC4814B">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904" w:type="pct"/>
            <w:gridSpan w:val="2"/>
            <w:tcBorders>
              <w:top w:val="single" w:color="auto" w:sz="4" w:space="0"/>
              <w:left w:val="nil"/>
              <w:bottom w:val="single" w:color="auto" w:sz="4" w:space="0"/>
              <w:right w:val="nil"/>
            </w:tcBorders>
            <w:vAlign w:val="center"/>
          </w:tcPr>
          <w:p w14:paraId="03DF325D">
            <w:pPr>
              <w:widowControl/>
              <w:adjustRightInd w:val="0"/>
              <w:snapToGrid w:val="0"/>
              <w:spacing w:line="240" w:lineRule="auto"/>
              <w:ind w:firstLine="400"/>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489" w:type="pct"/>
            <w:tcBorders>
              <w:top w:val="nil"/>
              <w:left w:val="single" w:color="auto" w:sz="4" w:space="0"/>
              <w:bottom w:val="single" w:color="auto" w:sz="4" w:space="0"/>
              <w:right w:val="single" w:color="auto" w:sz="4" w:space="0"/>
            </w:tcBorders>
            <w:vAlign w:val="center"/>
          </w:tcPr>
          <w:p w14:paraId="3ADEFECC">
            <w:pPr>
              <w:widowControl/>
              <w:adjustRightInd w:val="0"/>
              <w:snapToGrid w:val="0"/>
              <w:spacing w:line="240" w:lineRule="auto"/>
              <w:ind w:firstLineChars="100"/>
              <w:jc w:val="left"/>
              <w:rPr>
                <w:rFonts w:ascii="宋体" w:hAnsi="宋体" w:cs="宋体"/>
                <w:color w:val="000000"/>
                <w:kern w:val="0"/>
                <w:sz w:val="20"/>
                <w:szCs w:val="20"/>
              </w:rPr>
            </w:pPr>
            <w:r>
              <w:rPr>
                <w:rFonts w:hint="eastAsia" w:ascii="宋体" w:hAnsi="宋体" w:cs="宋体"/>
                <w:color w:val="000000"/>
                <w:kern w:val="0"/>
                <w:sz w:val="20"/>
                <w:szCs w:val="20"/>
              </w:rPr>
              <w:t>-10.02%</w:t>
            </w:r>
          </w:p>
        </w:tc>
        <w:tc>
          <w:tcPr>
            <w:tcW w:w="271" w:type="pct"/>
            <w:tcBorders>
              <w:top w:val="nil"/>
              <w:left w:val="nil"/>
              <w:bottom w:val="single" w:color="auto" w:sz="4" w:space="0"/>
              <w:right w:val="single" w:color="auto" w:sz="4" w:space="0"/>
            </w:tcBorders>
            <w:vAlign w:val="center"/>
          </w:tcPr>
          <w:p w14:paraId="348D4EF9">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284" w:type="pct"/>
            <w:tcBorders>
              <w:top w:val="nil"/>
              <w:left w:val="nil"/>
              <w:bottom w:val="single" w:color="auto" w:sz="4" w:space="0"/>
              <w:right w:val="nil"/>
            </w:tcBorders>
            <w:vAlign w:val="center"/>
          </w:tcPr>
          <w:p w14:paraId="30CF2ABE">
            <w:pPr>
              <w:widowControl/>
              <w:adjustRightInd w:val="0"/>
              <w:snapToGrid w:val="0"/>
              <w:spacing w:line="240" w:lineRule="auto"/>
              <w:ind w:firstLineChars="100"/>
              <w:rPr>
                <w:rFonts w:ascii="宋体" w:hAnsi="宋体" w:cs="宋体"/>
                <w:color w:val="000000"/>
                <w:kern w:val="0"/>
                <w:sz w:val="20"/>
                <w:szCs w:val="20"/>
              </w:rPr>
            </w:pPr>
            <w:r>
              <w:rPr>
                <w:rFonts w:hint="eastAsia" w:ascii="宋体" w:hAnsi="宋体" w:cs="宋体"/>
                <w:color w:val="000000"/>
                <w:kern w:val="0"/>
                <w:sz w:val="20"/>
                <w:szCs w:val="20"/>
              </w:rPr>
              <w:t>4</w:t>
            </w:r>
          </w:p>
        </w:tc>
        <w:tc>
          <w:tcPr>
            <w:tcW w:w="1389" w:type="pct"/>
            <w:tcBorders>
              <w:top w:val="nil"/>
              <w:left w:val="single" w:color="auto" w:sz="4" w:space="0"/>
              <w:bottom w:val="single" w:color="auto" w:sz="4" w:space="0"/>
              <w:right w:val="single" w:color="auto" w:sz="4" w:space="0"/>
            </w:tcBorders>
            <w:vAlign w:val="center"/>
          </w:tcPr>
          <w:p w14:paraId="1D7E8D48">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087" w:type="pct"/>
            <w:tcBorders>
              <w:top w:val="nil"/>
              <w:left w:val="nil"/>
              <w:bottom w:val="single" w:color="auto" w:sz="4" w:space="0"/>
              <w:right w:val="single" w:color="auto" w:sz="4" w:space="0"/>
            </w:tcBorders>
            <w:vAlign w:val="center"/>
          </w:tcPr>
          <w:p w14:paraId="0482063C">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14:paraId="624C05DB">
        <w:tblPrEx>
          <w:tblCellMar>
            <w:top w:w="0" w:type="dxa"/>
            <w:left w:w="108" w:type="dxa"/>
            <w:bottom w:w="0" w:type="dxa"/>
            <w:right w:w="108" w:type="dxa"/>
          </w:tblCellMar>
        </w:tblPrEx>
        <w:trPr>
          <w:trHeight w:val="404" w:hRule="atLeast"/>
        </w:trPr>
        <w:tc>
          <w:tcPr>
            <w:tcW w:w="1967" w:type="pct"/>
            <w:gridSpan w:val="5"/>
            <w:tcBorders>
              <w:top w:val="single" w:color="auto" w:sz="4" w:space="0"/>
              <w:left w:val="single" w:color="auto" w:sz="4" w:space="0"/>
              <w:bottom w:val="single" w:color="auto" w:sz="4" w:space="0"/>
              <w:right w:val="single" w:color="auto" w:sz="4" w:space="0"/>
            </w:tcBorders>
            <w:vAlign w:val="center"/>
          </w:tcPr>
          <w:p w14:paraId="2980DE83">
            <w:pPr>
              <w:widowControl/>
              <w:ind w:firstLine="400"/>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71" w:type="pct"/>
            <w:tcBorders>
              <w:top w:val="nil"/>
              <w:left w:val="nil"/>
              <w:bottom w:val="single" w:color="auto" w:sz="4" w:space="0"/>
              <w:right w:val="single" w:color="auto" w:sz="4" w:space="0"/>
            </w:tcBorders>
            <w:vAlign w:val="center"/>
          </w:tcPr>
          <w:p w14:paraId="4EED59F6">
            <w:pPr>
              <w:widowControl/>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84" w:type="pct"/>
            <w:tcBorders>
              <w:top w:val="nil"/>
              <w:left w:val="nil"/>
              <w:bottom w:val="single" w:color="auto" w:sz="4" w:space="0"/>
              <w:right w:val="nil"/>
            </w:tcBorders>
            <w:vAlign w:val="center"/>
          </w:tcPr>
          <w:p w14:paraId="23175FD6">
            <w:pPr>
              <w:widowControl/>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92.2</w:t>
            </w:r>
          </w:p>
        </w:tc>
        <w:tc>
          <w:tcPr>
            <w:tcW w:w="2477" w:type="pct"/>
            <w:gridSpan w:val="2"/>
            <w:tcBorders>
              <w:top w:val="single" w:color="auto" w:sz="4" w:space="0"/>
              <w:left w:val="single" w:color="auto" w:sz="4" w:space="0"/>
              <w:bottom w:val="single" w:color="auto" w:sz="4" w:space="0"/>
              <w:right w:val="single" w:color="000000" w:sz="4" w:space="0"/>
            </w:tcBorders>
            <w:vAlign w:val="center"/>
          </w:tcPr>
          <w:p w14:paraId="6DA5B8D8">
            <w:pPr>
              <w:widowControl/>
              <w:ind w:firstLine="360"/>
              <w:jc w:val="center"/>
              <w:rPr>
                <w:rFonts w:ascii="宋体" w:hAnsi="宋体" w:cs="宋体"/>
                <w:color w:val="000000"/>
                <w:kern w:val="0"/>
                <w:sz w:val="18"/>
                <w:szCs w:val="18"/>
              </w:rPr>
            </w:pPr>
            <w:r>
              <w:rPr>
                <w:rFonts w:hint="eastAsia" w:ascii="宋体" w:hAnsi="宋体" w:cs="宋体"/>
                <w:color w:val="000000"/>
                <w:kern w:val="0"/>
                <w:sz w:val="18"/>
                <w:szCs w:val="18"/>
              </w:rPr>
              <w:t>　</w:t>
            </w:r>
          </w:p>
        </w:tc>
      </w:tr>
      <w:bookmarkEnd w:id="25"/>
    </w:tbl>
    <w:p w14:paraId="56C5A1D3">
      <w:pPr>
        <w:pStyle w:val="2"/>
        <w:ind w:firstLine="480"/>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EC15D1-DB91-4A60-B6C4-B54BD219A7B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B2B8D61E-94FA-4AC9-9FD1-3EFB07D2C02A}"/>
  </w:font>
  <w:font w:name="仿宋_GB2312">
    <w:panose1 w:val="02010609030101010101"/>
    <w:charset w:val="86"/>
    <w:family w:val="modern"/>
    <w:pitch w:val="default"/>
    <w:sig w:usb0="00000001" w:usb1="080E0000" w:usb2="00000000" w:usb3="00000000" w:csb0="00040000" w:csb1="00000000"/>
    <w:embedRegular r:id="rId3" w:fontKey="{D3C87413-9D51-45E1-AF6E-0872B4F6BC46}"/>
  </w:font>
  <w:font w:name="楷体">
    <w:panose1 w:val="02010609060101010101"/>
    <w:charset w:val="86"/>
    <w:family w:val="modern"/>
    <w:pitch w:val="default"/>
    <w:sig w:usb0="800002BF" w:usb1="38CF7CFA" w:usb2="00000016" w:usb3="00000000" w:csb0="00040001" w:csb1="00000000"/>
    <w:embedRegular r:id="rId4" w:fontKey="{13DCDC92-EEDB-4669-94DD-A4420970C7AA}"/>
  </w:font>
  <w:font w:name="仿宋">
    <w:panose1 w:val="02010609060101010101"/>
    <w:charset w:val="86"/>
    <w:family w:val="modern"/>
    <w:pitch w:val="default"/>
    <w:sig w:usb0="800002BF" w:usb1="38CF7CFA" w:usb2="00000016" w:usb3="00000000" w:csb0="00040001" w:csb1="00000000"/>
    <w:embedRegular r:id="rId5" w:fontKey="{4CE42806-BF10-42CE-8E2A-51858450B190}"/>
  </w:font>
  <w:font w:name="Arial Narrow">
    <w:panose1 w:val="020B0606020202030204"/>
    <w:charset w:val="00"/>
    <w:family w:val="swiss"/>
    <w:pitch w:val="default"/>
    <w:sig w:usb0="00000287" w:usb1="00000800" w:usb2="00000000" w:usb3="00000000" w:csb0="2000009F" w:csb1="DFD70000"/>
    <w:embedRegular r:id="rId6" w:fontKey="{404406DD-3FE7-444E-95F6-223EB938BBA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FDD1C">
    <w:pPr>
      <w:pStyle w:val="8"/>
      <w:ind w:firstLine="480"/>
      <w:jc w:val="center"/>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2491105</wp:posOffset>
              </wp:positionH>
              <wp:positionV relativeFrom="paragraph">
                <wp:posOffset>-36195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7DC5BA">
                          <w:pPr>
                            <w:pStyle w:val="8"/>
                            <w:ind w:firstLine="480"/>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15</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6.15pt;margin-top:-2.85pt;height:144pt;width:144pt;mso-position-horizontal-relative:margin;mso-wrap-style:none;z-index:251659264;mso-width-relative:page;mso-height-relative:page;" filled="f" stroked="f" coordsize="21600,21600" o:gfxdata="UEsDBAoAAAAAAIdO4kAAAAAAAAAAAAAAAAAEAAAAZHJzL1BLAwQUAAAACACHTuJAne1re9cAAAAK&#10;AQAADwAAAGRycy9kb3ducmV2LnhtbE2Py07DMBBF90j8gzVI7Fq7CZQQ4lSiIiyRaFiwdOMhCfgR&#10;2W4a/p5hBcuZe3TnTLVbrGEzhjh6J2GzFsDQdV6Prpfw1jarAlhMymllvEMJ3xhhV19eVKrU/uxe&#10;cT6knlGJi6WSMKQ0lZzHbkCr4tpP6Cj78MGqRGPouQ7qTOXW8EyILbdqdHRhUBPuB+y+DicrYd+0&#10;bZgxBvOOz03++fJ4g0+LlNdXG/EALOGS/mD41Sd1qMnp6E9OR2Yk5PdZTqiE1e0dMAK2haDFUUJW&#10;UMLriv9/of4BUEsDBBQAAAAIAIdO4kCM1w58KgIAAFUEAAAOAAAAZHJzL2Uyb0RvYy54bWytVM2O&#10;0zAQviPxDpbvNGkRqypquipbFSFV7EoFcXYdp4nkP9luk/IA8AacuHDnufocfM5PFy0c9sDFGXvG&#10;38z3zTiL21ZJchLO10bndDpJKRGam6LWh5x++rh5NafEB6YLJo0WOT0LT2+XL18sGpuJmamMLIQj&#10;ANE+a2xOqxBsliSeV0IxPzFWaDhL4xQL2LpDUjjWAF3JZJamN0ljXGGd4cJ7nK57Jx0Q3XMATVnW&#10;XKwNPyqhQ4/qhGQBlHxVW0+XXbVlKXi4L0svApE5BdPQrUgCex/XZLlg2cExW9V8KIE9p4QnnBSr&#10;NZJeodYsMHJ09V9QqubOeFOGCTcq6Yl0ioDFNH2iza5iVnRcILW3V9H9/4PlH04PjtQFJoESzRQa&#10;fvn+7fLj1+XnVzKN8jTWZ4jaWcSF9q1pY+hw7nEYWbelU/ELPgR+iHu+iivaQHi8NJ/N5ylcHL5x&#10;A5zk8bp1PrwTRpFo5NShe52o7LT1oQ8dQ2I2bTa1lDhnmdSkyenN6zdpd+HqAbjUyBFJ9MVGK7T7&#10;dmCwN8UZxJzpJ8NbvqmRfMt8eGAOo4CC8VjCPZZSGiQxg0VJZdyXf53HeHQIXkoajFZONV4SJfK9&#10;RucAGEbDjcZ+NPRR3RnMKrqBWjoTF1yQo1k6oz7jBa1iDriY5siU0zCad6Efb7xALlarLgizZlnY&#10;6p3lEToq5u3qGCBgp2sUpVdi0ArT1nVmeBlxnP/cd1GPf4P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3ta3vXAAAACgEAAA8AAAAAAAAAAQAgAAAAIgAAAGRycy9kb3ducmV2LnhtbFBLAQIUABQA&#10;AAAIAIdO4kCM1w58KgIAAFUEAAAOAAAAAAAAAAEAIAAAACYBAABkcnMvZTJvRG9jLnhtbFBLBQYA&#10;AAAABgAGAFkBAADCBQAAAAA=&#10;">
              <v:fill on="f" focussize="0,0"/>
              <v:stroke on="f" weight="0.5pt"/>
              <v:imagedata o:title=""/>
              <o:lock v:ext="edit" aspectratio="f"/>
              <v:textbox inset="0mm,0mm,0mm,0mm" style="mso-fit-shape-to-text:t;">
                <w:txbxContent>
                  <w:p w14:paraId="7A7DC5BA">
                    <w:pPr>
                      <w:pStyle w:val="8"/>
                      <w:ind w:firstLine="480"/>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15</w:t>
                    </w:r>
                    <w:r>
                      <w:rPr>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480"/>
      </w:pPr>
      <w:r>
        <w:separator/>
      </w:r>
    </w:p>
  </w:footnote>
  <w:footnote w:type="continuationSeparator" w:id="1">
    <w:p>
      <w:pPr>
        <w:spacing w:line="312"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01666">
    <w:pPr>
      <w:pStyle w:val="9"/>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OGQ1YmI3MDRiMmUwNzQ4ZWEwY2FlODdhMGRiZjcifQ=="/>
  </w:docVars>
  <w:rsids>
    <w:rsidRoot w:val="006C12CD"/>
    <w:rsid w:val="000006CB"/>
    <w:rsid w:val="0000079B"/>
    <w:rsid w:val="000033E8"/>
    <w:rsid w:val="00004143"/>
    <w:rsid w:val="00004643"/>
    <w:rsid w:val="00007638"/>
    <w:rsid w:val="00010C5F"/>
    <w:rsid w:val="000138AD"/>
    <w:rsid w:val="00024137"/>
    <w:rsid w:val="00027321"/>
    <w:rsid w:val="0004167C"/>
    <w:rsid w:val="0004575A"/>
    <w:rsid w:val="00046ADB"/>
    <w:rsid w:val="000471C9"/>
    <w:rsid w:val="00047D1D"/>
    <w:rsid w:val="000553B1"/>
    <w:rsid w:val="00063121"/>
    <w:rsid w:val="0006472B"/>
    <w:rsid w:val="00064CA3"/>
    <w:rsid w:val="00073573"/>
    <w:rsid w:val="00076251"/>
    <w:rsid w:val="00083F7D"/>
    <w:rsid w:val="000847F4"/>
    <w:rsid w:val="000967E9"/>
    <w:rsid w:val="000A0144"/>
    <w:rsid w:val="000A6A36"/>
    <w:rsid w:val="000A7482"/>
    <w:rsid w:val="000A74E9"/>
    <w:rsid w:val="000C044F"/>
    <w:rsid w:val="000C2F75"/>
    <w:rsid w:val="000D251D"/>
    <w:rsid w:val="000D511D"/>
    <w:rsid w:val="000D717B"/>
    <w:rsid w:val="000D7C34"/>
    <w:rsid w:val="000D7CC1"/>
    <w:rsid w:val="000E5980"/>
    <w:rsid w:val="000E6341"/>
    <w:rsid w:val="000E7799"/>
    <w:rsid w:val="000E7BA0"/>
    <w:rsid w:val="000F1E6B"/>
    <w:rsid w:val="000F481D"/>
    <w:rsid w:val="000F6489"/>
    <w:rsid w:val="000F6DD0"/>
    <w:rsid w:val="000F71CA"/>
    <w:rsid w:val="000F73AC"/>
    <w:rsid w:val="00101AD1"/>
    <w:rsid w:val="00103DB1"/>
    <w:rsid w:val="001048A7"/>
    <w:rsid w:val="00106162"/>
    <w:rsid w:val="001065E4"/>
    <w:rsid w:val="00107D54"/>
    <w:rsid w:val="00116CDB"/>
    <w:rsid w:val="00120083"/>
    <w:rsid w:val="00121620"/>
    <w:rsid w:val="0012280E"/>
    <w:rsid w:val="00124719"/>
    <w:rsid w:val="00132B3D"/>
    <w:rsid w:val="00136BDD"/>
    <w:rsid w:val="00140CAC"/>
    <w:rsid w:val="00141C36"/>
    <w:rsid w:val="00146BD6"/>
    <w:rsid w:val="0015138C"/>
    <w:rsid w:val="00153658"/>
    <w:rsid w:val="00154074"/>
    <w:rsid w:val="0015788B"/>
    <w:rsid w:val="00157907"/>
    <w:rsid w:val="00157E96"/>
    <w:rsid w:val="00160A14"/>
    <w:rsid w:val="00161960"/>
    <w:rsid w:val="00164F1A"/>
    <w:rsid w:val="001652D3"/>
    <w:rsid w:val="001710F6"/>
    <w:rsid w:val="00172F72"/>
    <w:rsid w:val="00183988"/>
    <w:rsid w:val="00186B9D"/>
    <w:rsid w:val="00195A8E"/>
    <w:rsid w:val="001A0AB3"/>
    <w:rsid w:val="001A1512"/>
    <w:rsid w:val="001A224B"/>
    <w:rsid w:val="001B00AA"/>
    <w:rsid w:val="001B0B00"/>
    <w:rsid w:val="001B1584"/>
    <w:rsid w:val="001B53B9"/>
    <w:rsid w:val="001B6147"/>
    <w:rsid w:val="001C27EE"/>
    <w:rsid w:val="001C4B54"/>
    <w:rsid w:val="001C521D"/>
    <w:rsid w:val="001C53CA"/>
    <w:rsid w:val="001C7A6E"/>
    <w:rsid w:val="001D14AB"/>
    <w:rsid w:val="001D16C5"/>
    <w:rsid w:val="001D4FF6"/>
    <w:rsid w:val="001D7543"/>
    <w:rsid w:val="001E3B5A"/>
    <w:rsid w:val="001E5027"/>
    <w:rsid w:val="001F0233"/>
    <w:rsid w:val="001F16D3"/>
    <w:rsid w:val="001F1BB0"/>
    <w:rsid w:val="001F513A"/>
    <w:rsid w:val="002026BE"/>
    <w:rsid w:val="00202950"/>
    <w:rsid w:val="00203F70"/>
    <w:rsid w:val="00204AF6"/>
    <w:rsid w:val="0021293D"/>
    <w:rsid w:val="00222E61"/>
    <w:rsid w:val="00223783"/>
    <w:rsid w:val="00225D58"/>
    <w:rsid w:val="002277EA"/>
    <w:rsid w:val="00233602"/>
    <w:rsid w:val="0024163E"/>
    <w:rsid w:val="002421F4"/>
    <w:rsid w:val="002455CE"/>
    <w:rsid w:val="00250BEE"/>
    <w:rsid w:val="00251218"/>
    <w:rsid w:val="00255E4D"/>
    <w:rsid w:val="002563BB"/>
    <w:rsid w:val="002567DD"/>
    <w:rsid w:val="0026051F"/>
    <w:rsid w:val="00262B10"/>
    <w:rsid w:val="00270E66"/>
    <w:rsid w:val="002723B4"/>
    <w:rsid w:val="0027660B"/>
    <w:rsid w:val="002770FE"/>
    <w:rsid w:val="00286B71"/>
    <w:rsid w:val="0029002A"/>
    <w:rsid w:val="002901D1"/>
    <w:rsid w:val="00293971"/>
    <w:rsid w:val="0029720A"/>
    <w:rsid w:val="002A0BBE"/>
    <w:rsid w:val="002A169F"/>
    <w:rsid w:val="002A3776"/>
    <w:rsid w:val="002A44C7"/>
    <w:rsid w:val="002B1D67"/>
    <w:rsid w:val="002B4F8E"/>
    <w:rsid w:val="002C1490"/>
    <w:rsid w:val="002C4284"/>
    <w:rsid w:val="002C723A"/>
    <w:rsid w:val="002C7881"/>
    <w:rsid w:val="002D2AC5"/>
    <w:rsid w:val="002D2C6A"/>
    <w:rsid w:val="002D373E"/>
    <w:rsid w:val="002D3F3B"/>
    <w:rsid w:val="002D58A7"/>
    <w:rsid w:val="002E39D8"/>
    <w:rsid w:val="002E5234"/>
    <w:rsid w:val="002F182C"/>
    <w:rsid w:val="002F2178"/>
    <w:rsid w:val="002F2752"/>
    <w:rsid w:val="002F27A1"/>
    <w:rsid w:val="002F5B53"/>
    <w:rsid w:val="002F5F52"/>
    <w:rsid w:val="002F7137"/>
    <w:rsid w:val="00301739"/>
    <w:rsid w:val="00302EFC"/>
    <w:rsid w:val="00307E9C"/>
    <w:rsid w:val="00310CAF"/>
    <w:rsid w:val="003141B1"/>
    <w:rsid w:val="00315CE2"/>
    <w:rsid w:val="00316A0D"/>
    <w:rsid w:val="00323CF9"/>
    <w:rsid w:val="003241B7"/>
    <w:rsid w:val="00327E63"/>
    <w:rsid w:val="003345CF"/>
    <w:rsid w:val="00336795"/>
    <w:rsid w:val="00337577"/>
    <w:rsid w:val="003375D7"/>
    <w:rsid w:val="003403B0"/>
    <w:rsid w:val="00341C77"/>
    <w:rsid w:val="0034301F"/>
    <w:rsid w:val="00343E96"/>
    <w:rsid w:val="0034510A"/>
    <w:rsid w:val="00353AB0"/>
    <w:rsid w:val="003545BA"/>
    <w:rsid w:val="0036427E"/>
    <w:rsid w:val="0036456A"/>
    <w:rsid w:val="00364FB2"/>
    <w:rsid w:val="0036570D"/>
    <w:rsid w:val="00365F83"/>
    <w:rsid w:val="003700E1"/>
    <w:rsid w:val="0037159C"/>
    <w:rsid w:val="00391159"/>
    <w:rsid w:val="00394120"/>
    <w:rsid w:val="00396841"/>
    <w:rsid w:val="00396C64"/>
    <w:rsid w:val="0039765E"/>
    <w:rsid w:val="003A11CE"/>
    <w:rsid w:val="003A2882"/>
    <w:rsid w:val="003B6385"/>
    <w:rsid w:val="003C62E5"/>
    <w:rsid w:val="003D15EA"/>
    <w:rsid w:val="003E0CA8"/>
    <w:rsid w:val="003E235A"/>
    <w:rsid w:val="003E252D"/>
    <w:rsid w:val="003E3673"/>
    <w:rsid w:val="003F0D5E"/>
    <w:rsid w:val="003F1F24"/>
    <w:rsid w:val="003F28ED"/>
    <w:rsid w:val="003F2E94"/>
    <w:rsid w:val="003F7D81"/>
    <w:rsid w:val="003F7F58"/>
    <w:rsid w:val="00401843"/>
    <w:rsid w:val="00401CCA"/>
    <w:rsid w:val="00404C8F"/>
    <w:rsid w:val="004125D9"/>
    <w:rsid w:val="00412BA0"/>
    <w:rsid w:val="00417E09"/>
    <w:rsid w:val="004203D9"/>
    <w:rsid w:val="0042393B"/>
    <w:rsid w:val="00423FC6"/>
    <w:rsid w:val="00435611"/>
    <w:rsid w:val="00440E54"/>
    <w:rsid w:val="00441C42"/>
    <w:rsid w:val="00445C49"/>
    <w:rsid w:val="00447816"/>
    <w:rsid w:val="00447C1A"/>
    <w:rsid w:val="004514BC"/>
    <w:rsid w:val="00451E49"/>
    <w:rsid w:val="00456241"/>
    <w:rsid w:val="00461957"/>
    <w:rsid w:val="004665ED"/>
    <w:rsid w:val="00466F79"/>
    <w:rsid w:val="00470D5A"/>
    <w:rsid w:val="00477A2A"/>
    <w:rsid w:val="00481A71"/>
    <w:rsid w:val="004830BE"/>
    <w:rsid w:val="00487694"/>
    <w:rsid w:val="00487984"/>
    <w:rsid w:val="0049161B"/>
    <w:rsid w:val="00497C5A"/>
    <w:rsid w:val="004A202C"/>
    <w:rsid w:val="004A26A7"/>
    <w:rsid w:val="004B4820"/>
    <w:rsid w:val="004C5F07"/>
    <w:rsid w:val="004C6C22"/>
    <w:rsid w:val="004C7295"/>
    <w:rsid w:val="004C7BA1"/>
    <w:rsid w:val="004E3CFA"/>
    <w:rsid w:val="004F0719"/>
    <w:rsid w:val="004F6471"/>
    <w:rsid w:val="005029A9"/>
    <w:rsid w:val="00503243"/>
    <w:rsid w:val="005042D5"/>
    <w:rsid w:val="00506DD5"/>
    <w:rsid w:val="00507942"/>
    <w:rsid w:val="00512579"/>
    <w:rsid w:val="00513535"/>
    <w:rsid w:val="0051715B"/>
    <w:rsid w:val="005252BC"/>
    <w:rsid w:val="005263D1"/>
    <w:rsid w:val="00526BA3"/>
    <w:rsid w:val="00531652"/>
    <w:rsid w:val="00531ABA"/>
    <w:rsid w:val="00533561"/>
    <w:rsid w:val="00545035"/>
    <w:rsid w:val="005466ED"/>
    <w:rsid w:val="00547946"/>
    <w:rsid w:val="00552DCA"/>
    <w:rsid w:val="00562917"/>
    <w:rsid w:val="005629DF"/>
    <w:rsid w:val="00566EC4"/>
    <w:rsid w:val="00567B7E"/>
    <w:rsid w:val="005702FB"/>
    <w:rsid w:val="00570961"/>
    <w:rsid w:val="005778F7"/>
    <w:rsid w:val="0058192B"/>
    <w:rsid w:val="00584B77"/>
    <w:rsid w:val="00586F28"/>
    <w:rsid w:val="005874EF"/>
    <w:rsid w:val="005906BF"/>
    <w:rsid w:val="00592E79"/>
    <w:rsid w:val="005936F1"/>
    <w:rsid w:val="005B1777"/>
    <w:rsid w:val="005B2E9A"/>
    <w:rsid w:val="005B35CB"/>
    <w:rsid w:val="005B43D6"/>
    <w:rsid w:val="005B4822"/>
    <w:rsid w:val="005B60FD"/>
    <w:rsid w:val="005C6F4B"/>
    <w:rsid w:val="005C73C8"/>
    <w:rsid w:val="005E2B53"/>
    <w:rsid w:val="005E3029"/>
    <w:rsid w:val="005E5C75"/>
    <w:rsid w:val="005E6682"/>
    <w:rsid w:val="005E6E0E"/>
    <w:rsid w:val="005E7D71"/>
    <w:rsid w:val="005F150D"/>
    <w:rsid w:val="005F21EB"/>
    <w:rsid w:val="005F43F0"/>
    <w:rsid w:val="005F6FA9"/>
    <w:rsid w:val="005F75B0"/>
    <w:rsid w:val="006003EB"/>
    <w:rsid w:val="006033F4"/>
    <w:rsid w:val="00610CFB"/>
    <w:rsid w:val="006120C5"/>
    <w:rsid w:val="0061327B"/>
    <w:rsid w:val="00613D26"/>
    <w:rsid w:val="006164FC"/>
    <w:rsid w:val="006201D4"/>
    <w:rsid w:val="00620CD1"/>
    <w:rsid w:val="00625A1F"/>
    <w:rsid w:val="00626B6B"/>
    <w:rsid w:val="00627002"/>
    <w:rsid w:val="00630916"/>
    <w:rsid w:val="00642D89"/>
    <w:rsid w:val="006458CD"/>
    <w:rsid w:val="00650740"/>
    <w:rsid w:val="0065353A"/>
    <w:rsid w:val="006663E7"/>
    <w:rsid w:val="00674078"/>
    <w:rsid w:val="00676AD3"/>
    <w:rsid w:val="0067700B"/>
    <w:rsid w:val="00684398"/>
    <w:rsid w:val="0069296C"/>
    <w:rsid w:val="0069343C"/>
    <w:rsid w:val="006A26F7"/>
    <w:rsid w:val="006B5347"/>
    <w:rsid w:val="006C12CD"/>
    <w:rsid w:val="006C1E9C"/>
    <w:rsid w:val="006C3344"/>
    <w:rsid w:val="006C745D"/>
    <w:rsid w:val="006D2DDE"/>
    <w:rsid w:val="006D4AA0"/>
    <w:rsid w:val="006D54A8"/>
    <w:rsid w:val="006E4FA9"/>
    <w:rsid w:val="006E53AD"/>
    <w:rsid w:val="006E6F99"/>
    <w:rsid w:val="006F0CE9"/>
    <w:rsid w:val="006F4E22"/>
    <w:rsid w:val="006F6A7B"/>
    <w:rsid w:val="0070134E"/>
    <w:rsid w:val="00701BB6"/>
    <w:rsid w:val="007029D2"/>
    <w:rsid w:val="00704F45"/>
    <w:rsid w:val="007054D3"/>
    <w:rsid w:val="007054E5"/>
    <w:rsid w:val="007114CD"/>
    <w:rsid w:val="007167BA"/>
    <w:rsid w:val="0071797B"/>
    <w:rsid w:val="00720325"/>
    <w:rsid w:val="00725050"/>
    <w:rsid w:val="0072679E"/>
    <w:rsid w:val="00727B36"/>
    <w:rsid w:val="00732958"/>
    <w:rsid w:val="00734CC9"/>
    <w:rsid w:val="007430E1"/>
    <w:rsid w:val="007442C5"/>
    <w:rsid w:val="0075604F"/>
    <w:rsid w:val="0076244C"/>
    <w:rsid w:val="00763228"/>
    <w:rsid w:val="00767A62"/>
    <w:rsid w:val="00767FF1"/>
    <w:rsid w:val="0077243F"/>
    <w:rsid w:val="0077692D"/>
    <w:rsid w:val="00777F1F"/>
    <w:rsid w:val="00780A68"/>
    <w:rsid w:val="00781A47"/>
    <w:rsid w:val="00782762"/>
    <w:rsid w:val="00785865"/>
    <w:rsid w:val="00797FE1"/>
    <w:rsid w:val="007A4181"/>
    <w:rsid w:val="007A41A7"/>
    <w:rsid w:val="007A7C55"/>
    <w:rsid w:val="007A7C65"/>
    <w:rsid w:val="007A7E52"/>
    <w:rsid w:val="007B238E"/>
    <w:rsid w:val="007B3421"/>
    <w:rsid w:val="007B3B1B"/>
    <w:rsid w:val="007B4935"/>
    <w:rsid w:val="007B49E3"/>
    <w:rsid w:val="007B63D1"/>
    <w:rsid w:val="007B7062"/>
    <w:rsid w:val="007B7B8E"/>
    <w:rsid w:val="007C1A5A"/>
    <w:rsid w:val="007D4EE5"/>
    <w:rsid w:val="007D769A"/>
    <w:rsid w:val="007D7ACE"/>
    <w:rsid w:val="007E0FFC"/>
    <w:rsid w:val="007E7D68"/>
    <w:rsid w:val="007F045B"/>
    <w:rsid w:val="007F1A2F"/>
    <w:rsid w:val="007F1B44"/>
    <w:rsid w:val="007F20B6"/>
    <w:rsid w:val="007F2379"/>
    <w:rsid w:val="007F3A2E"/>
    <w:rsid w:val="007F3F40"/>
    <w:rsid w:val="007F53AF"/>
    <w:rsid w:val="007F6983"/>
    <w:rsid w:val="007F78BA"/>
    <w:rsid w:val="008001CD"/>
    <w:rsid w:val="00801819"/>
    <w:rsid w:val="008022D8"/>
    <w:rsid w:val="008060B8"/>
    <w:rsid w:val="00810ECF"/>
    <w:rsid w:val="00811177"/>
    <w:rsid w:val="00812194"/>
    <w:rsid w:val="00813093"/>
    <w:rsid w:val="008172E2"/>
    <w:rsid w:val="008215C5"/>
    <w:rsid w:val="00823610"/>
    <w:rsid w:val="00827737"/>
    <w:rsid w:val="00835671"/>
    <w:rsid w:val="00841337"/>
    <w:rsid w:val="008419BE"/>
    <w:rsid w:val="008452B9"/>
    <w:rsid w:val="0085287A"/>
    <w:rsid w:val="00855F88"/>
    <w:rsid w:val="008614ED"/>
    <w:rsid w:val="008644C6"/>
    <w:rsid w:val="00865670"/>
    <w:rsid w:val="00867023"/>
    <w:rsid w:val="00870B0D"/>
    <w:rsid w:val="00871A87"/>
    <w:rsid w:val="008774A1"/>
    <w:rsid w:val="00883EEA"/>
    <w:rsid w:val="00884FF1"/>
    <w:rsid w:val="00886487"/>
    <w:rsid w:val="00886AA7"/>
    <w:rsid w:val="0088761C"/>
    <w:rsid w:val="008901CB"/>
    <w:rsid w:val="00890BE0"/>
    <w:rsid w:val="00890BF0"/>
    <w:rsid w:val="00890F52"/>
    <w:rsid w:val="00892274"/>
    <w:rsid w:val="00895CD4"/>
    <w:rsid w:val="00895DAF"/>
    <w:rsid w:val="008A0EF4"/>
    <w:rsid w:val="008A70C6"/>
    <w:rsid w:val="008A7536"/>
    <w:rsid w:val="008B13E9"/>
    <w:rsid w:val="008B361A"/>
    <w:rsid w:val="008B3E0A"/>
    <w:rsid w:val="008B5A0D"/>
    <w:rsid w:val="008B662F"/>
    <w:rsid w:val="008D1594"/>
    <w:rsid w:val="008D33A4"/>
    <w:rsid w:val="008D35F7"/>
    <w:rsid w:val="008D766A"/>
    <w:rsid w:val="008E024C"/>
    <w:rsid w:val="008E1883"/>
    <w:rsid w:val="008E54FD"/>
    <w:rsid w:val="008E667F"/>
    <w:rsid w:val="008F081A"/>
    <w:rsid w:val="008F36A5"/>
    <w:rsid w:val="008F636E"/>
    <w:rsid w:val="008F7975"/>
    <w:rsid w:val="009003C0"/>
    <w:rsid w:val="00905346"/>
    <w:rsid w:val="0090713F"/>
    <w:rsid w:val="00920039"/>
    <w:rsid w:val="009204F7"/>
    <w:rsid w:val="009231FA"/>
    <w:rsid w:val="00926381"/>
    <w:rsid w:val="00930F68"/>
    <w:rsid w:val="00931334"/>
    <w:rsid w:val="00933D0B"/>
    <w:rsid w:val="00934B31"/>
    <w:rsid w:val="00943A8B"/>
    <w:rsid w:val="009509DF"/>
    <w:rsid w:val="0095363D"/>
    <w:rsid w:val="00957ED4"/>
    <w:rsid w:val="00960B42"/>
    <w:rsid w:val="009624A9"/>
    <w:rsid w:val="00963055"/>
    <w:rsid w:val="0096771B"/>
    <w:rsid w:val="00967E93"/>
    <w:rsid w:val="009713F0"/>
    <w:rsid w:val="0097150B"/>
    <w:rsid w:val="00973564"/>
    <w:rsid w:val="00976682"/>
    <w:rsid w:val="00985C20"/>
    <w:rsid w:val="0098692F"/>
    <w:rsid w:val="00987F42"/>
    <w:rsid w:val="00992F38"/>
    <w:rsid w:val="0099429B"/>
    <w:rsid w:val="00996A78"/>
    <w:rsid w:val="00996EA3"/>
    <w:rsid w:val="009A0595"/>
    <w:rsid w:val="009A4139"/>
    <w:rsid w:val="009B103A"/>
    <w:rsid w:val="009B209E"/>
    <w:rsid w:val="009B610A"/>
    <w:rsid w:val="009B7812"/>
    <w:rsid w:val="009C1235"/>
    <w:rsid w:val="009D271F"/>
    <w:rsid w:val="009D5040"/>
    <w:rsid w:val="009D5E39"/>
    <w:rsid w:val="009E4FAF"/>
    <w:rsid w:val="009F304D"/>
    <w:rsid w:val="009F7285"/>
    <w:rsid w:val="009F738B"/>
    <w:rsid w:val="00A01AE7"/>
    <w:rsid w:val="00A04C1E"/>
    <w:rsid w:val="00A064AA"/>
    <w:rsid w:val="00A07FB5"/>
    <w:rsid w:val="00A13326"/>
    <w:rsid w:val="00A14032"/>
    <w:rsid w:val="00A1724C"/>
    <w:rsid w:val="00A22649"/>
    <w:rsid w:val="00A22E5E"/>
    <w:rsid w:val="00A27111"/>
    <w:rsid w:val="00A2716F"/>
    <w:rsid w:val="00A31903"/>
    <w:rsid w:val="00A31CEB"/>
    <w:rsid w:val="00A368DD"/>
    <w:rsid w:val="00A36DD9"/>
    <w:rsid w:val="00A43254"/>
    <w:rsid w:val="00A46DA0"/>
    <w:rsid w:val="00A50A56"/>
    <w:rsid w:val="00A51536"/>
    <w:rsid w:val="00A662D0"/>
    <w:rsid w:val="00A74B78"/>
    <w:rsid w:val="00A74B9B"/>
    <w:rsid w:val="00A76AFD"/>
    <w:rsid w:val="00A86478"/>
    <w:rsid w:val="00A86C81"/>
    <w:rsid w:val="00A910F4"/>
    <w:rsid w:val="00A91359"/>
    <w:rsid w:val="00A9279B"/>
    <w:rsid w:val="00A969BF"/>
    <w:rsid w:val="00AA28A2"/>
    <w:rsid w:val="00AA5F6B"/>
    <w:rsid w:val="00AB15D0"/>
    <w:rsid w:val="00AC0441"/>
    <w:rsid w:val="00AC3C47"/>
    <w:rsid w:val="00AC6B8B"/>
    <w:rsid w:val="00AE1587"/>
    <w:rsid w:val="00AE3A2C"/>
    <w:rsid w:val="00AE4EC9"/>
    <w:rsid w:val="00AF439F"/>
    <w:rsid w:val="00B0129C"/>
    <w:rsid w:val="00B02714"/>
    <w:rsid w:val="00B02B2E"/>
    <w:rsid w:val="00B05732"/>
    <w:rsid w:val="00B10348"/>
    <w:rsid w:val="00B1541F"/>
    <w:rsid w:val="00B15A17"/>
    <w:rsid w:val="00B16F11"/>
    <w:rsid w:val="00B217EA"/>
    <w:rsid w:val="00B33525"/>
    <w:rsid w:val="00B40C70"/>
    <w:rsid w:val="00B40EDD"/>
    <w:rsid w:val="00B42BFB"/>
    <w:rsid w:val="00B43212"/>
    <w:rsid w:val="00B546A3"/>
    <w:rsid w:val="00B55923"/>
    <w:rsid w:val="00B579EB"/>
    <w:rsid w:val="00B60861"/>
    <w:rsid w:val="00B6178D"/>
    <w:rsid w:val="00B63D45"/>
    <w:rsid w:val="00B6509D"/>
    <w:rsid w:val="00B674D6"/>
    <w:rsid w:val="00B8124D"/>
    <w:rsid w:val="00B8127F"/>
    <w:rsid w:val="00B835F5"/>
    <w:rsid w:val="00B937CC"/>
    <w:rsid w:val="00B93870"/>
    <w:rsid w:val="00B94F75"/>
    <w:rsid w:val="00BA3CD1"/>
    <w:rsid w:val="00BB1D54"/>
    <w:rsid w:val="00BB3B9A"/>
    <w:rsid w:val="00BB6C44"/>
    <w:rsid w:val="00BB6E48"/>
    <w:rsid w:val="00BC4B66"/>
    <w:rsid w:val="00BC6EF3"/>
    <w:rsid w:val="00BD2CD5"/>
    <w:rsid w:val="00BD408E"/>
    <w:rsid w:val="00BD7717"/>
    <w:rsid w:val="00BE0E09"/>
    <w:rsid w:val="00BE485D"/>
    <w:rsid w:val="00BE5E6D"/>
    <w:rsid w:val="00C05870"/>
    <w:rsid w:val="00C15223"/>
    <w:rsid w:val="00C16169"/>
    <w:rsid w:val="00C17675"/>
    <w:rsid w:val="00C2090F"/>
    <w:rsid w:val="00C21837"/>
    <w:rsid w:val="00C30C8E"/>
    <w:rsid w:val="00C40916"/>
    <w:rsid w:val="00C4182B"/>
    <w:rsid w:val="00C41DBB"/>
    <w:rsid w:val="00C47BB0"/>
    <w:rsid w:val="00C51151"/>
    <w:rsid w:val="00C51E01"/>
    <w:rsid w:val="00C52D70"/>
    <w:rsid w:val="00C5459F"/>
    <w:rsid w:val="00C6147B"/>
    <w:rsid w:val="00C61A08"/>
    <w:rsid w:val="00C71D6D"/>
    <w:rsid w:val="00C720AF"/>
    <w:rsid w:val="00C76880"/>
    <w:rsid w:val="00C7766C"/>
    <w:rsid w:val="00C807BD"/>
    <w:rsid w:val="00C80B21"/>
    <w:rsid w:val="00C834D1"/>
    <w:rsid w:val="00C83508"/>
    <w:rsid w:val="00C9245F"/>
    <w:rsid w:val="00C9325D"/>
    <w:rsid w:val="00C93C9B"/>
    <w:rsid w:val="00C949EC"/>
    <w:rsid w:val="00CA1490"/>
    <w:rsid w:val="00CA4A90"/>
    <w:rsid w:val="00CA7DDF"/>
    <w:rsid w:val="00CB0D56"/>
    <w:rsid w:val="00CB7078"/>
    <w:rsid w:val="00CC1827"/>
    <w:rsid w:val="00CD4286"/>
    <w:rsid w:val="00CD7CE8"/>
    <w:rsid w:val="00CE2374"/>
    <w:rsid w:val="00CE2DC3"/>
    <w:rsid w:val="00CE4AD4"/>
    <w:rsid w:val="00CE5F58"/>
    <w:rsid w:val="00CF2713"/>
    <w:rsid w:val="00CF5F33"/>
    <w:rsid w:val="00D04011"/>
    <w:rsid w:val="00D05851"/>
    <w:rsid w:val="00D11ABC"/>
    <w:rsid w:val="00D12E09"/>
    <w:rsid w:val="00D13115"/>
    <w:rsid w:val="00D17DB6"/>
    <w:rsid w:val="00D21B8B"/>
    <w:rsid w:val="00D233FB"/>
    <w:rsid w:val="00D244A6"/>
    <w:rsid w:val="00D34D44"/>
    <w:rsid w:val="00D34D79"/>
    <w:rsid w:val="00D361C4"/>
    <w:rsid w:val="00D365DC"/>
    <w:rsid w:val="00D45E19"/>
    <w:rsid w:val="00D46DCF"/>
    <w:rsid w:val="00D51357"/>
    <w:rsid w:val="00D52CE9"/>
    <w:rsid w:val="00D539AF"/>
    <w:rsid w:val="00D56178"/>
    <w:rsid w:val="00D60181"/>
    <w:rsid w:val="00D7328E"/>
    <w:rsid w:val="00D7350E"/>
    <w:rsid w:val="00D74E83"/>
    <w:rsid w:val="00D75380"/>
    <w:rsid w:val="00D82CF4"/>
    <w:rsid w:val="00D85247"/>
    <w:rsid w:val="00D859D6"/>
    <w:rsid w:val="00D85C76"/>
    <w:rsid w:val="00D9058C"/>
    <w:rsid w:val="00D93C24"/>
    <w:rsid w:val="00D97CB9"/>
    <w:rsid w:val="00DA2898"/>
    <w:rsid w:val="00DA58AB"/>
    <w:rsid w:val="00DB59CC"/>
    <w:rsid w:val="00DB6D61"/>
    <w:rsid w:val="00DC0454"/>
    <w:rsid w:val="00DC4CD6"/>
    <w:rsid w:val="00DC5A9F"/>
    <w:rsid w:val="00DE2FDA"/>
    <w:rsid w:val="00DE517C"/>
    <w:rsid w:val="00DE65A9"/>
    <w:rsid w:val="00DF03A7"/>
    <w:rsid w:val="00DF5F13"/>
    <w:rsid w:val="00E016A5"/>
    <w:rsid w:val="00E05EED"/>
    <w:rsid w:val="00E12466"/>
    <w:rsid w:val="00E15A37"/>
    <w:rsid w:val="00E16DFF"/>
    <w:rsid w:val="00E1772C"/>
    <w:rsid w:val="00E22C83"/>
    <w:rsid w:val="00E25595"/>
    <w:rsid w:val="00E308F5"/>
    <w:rsid w:val="00E30C29"/>
    <w:rsid w:val="00E32408"/>
    <w:rsid w:val="00E3461B"/>
    <w:rsid w:val="00E35AF2"/>
    <w:rsid w:val="00E40BE1"/>
    <w:rsid w:val="00E40EAF"/>
    <w:rsid w:val="00E412BF"/>
    <w:rsid w:val="00E42493"/>
    <w:rsid w:val="00E43C48"/>
    <w:rsid w:val="00E43F72"/>
    <w:rsid w:val="00E44116"/>
    <w:rsid w:val="00E47C34"/>
    <w:rsid w:val="00E5432A"/>
    <w:rsid w:val="00E648F9"/>
    <w:rsid w:val="00E65332"/>
    <w:rsid w:val="00E666DA"/>
    <w:rsid w:val="00E670DD"/>
    <w:rsid w:val="00E674F3"/>
    <w:rsid w:val="00E73A82"/>
    <w:rsid w:val="00E80D0F"/>
    <w:rsid w:val="00E84E2A"/>
    <w:rsid w:val="00E86393"/>
    <w:rsid w:val="00E87AF9"/>
    <w:rsid w:val="00E9195E"/>
    <w:rsid w:val="00E9304F"/>
    <w:rsid w:val="00E95CEF"/>
    <w:rsid w:val="00E973B3"/>
    <w:rsid w:val="00EA2666"/>
    <w:rsid w:val="00EA349A"/>
    <w:rsid w:val="00EA7C0B"/>
    <w:rsid w:val="00EB04F6"/>
    <w:rsid w:val="00EB4C51"/>
    <w:rsid w:val="00EB74A5"/>
    <w:rsid w:val="00EB779A"/>
    <w:rsid w:val="00ED0717"/>
    <w:rsid w:val="00ED316C"/>
    <w:rsid w:val="00ED5BB0"/>
    <w:rsid w:val="00ED5FD1"/>
    <w:rsid w:val="00ED6D2A"/>
    <w:rsid w:val="00EE076A"/>
    <w:rsid w:val="00EE2C8E"/>
    <w:rsid w:val="00EE4F33"/>
    <w:rsid w:val="00EE5A21"/>
    <w:rsid w:val="00EF04A7"/>
    <w:rsid w:val="00EF154F"/>
    <w:rsid w:val="00EF367E"/>
    <w:rsid w:val="00EF4E23"/>
    <w:rsid w:val="00EF5184"/>
    <w:rsid w:val="00F01F8E"/>
    <w:rsid w:val="00F02954"/>
    <w:rsid w:val="00F05790"/>
    <w:rsid w:val="00F07105"/>
    <w:rsid w:val="00F141A3"/>
    <w:rsid w:val="00F14898"/>
    <w:rsid w:val="00F15667"/>
    <w:rsid w:val="00F17364"/>
    <w:rsid w:val="00F1789D"/>
    <w:rsid w:val="00F23193"/>
    <w:rsid w:val="00F23C74"/>
    <w:rsid w:val="00F3506E"/>
    <w:rsid w:val="00F369EE"/>
    <w:rsid w:val="00F4261B"/>
    <w:rsid w:val="00F46178"/>
    <w:rsid w:val="00F47F90"/>
    <w:rsid w:val="00F55D28"/>
    <w:rsid w:val="00F62609"/>
    <w:rsid w:val="00F67565"/>
    <w:rsid w:val="00F7422C"/>
    <w:rsid w:val="00F76994"/>
    <w:rsid w:val="00F8037A"/>
    <w:rsid w:val="00F81E45"/>
    <w:rsid w:val="00F8609B"/>
    <w:rsid w:val="00F943EE"/>
    <w:rsid w:val="00F9661B"/>
    <w:rsid w:val="00FA654A"/>
    <w:rsid w:val="00FB0568"/>
    <w:rsid w:val="00FB08BB"/>
    <w:rsid w:val="00FB3267"/>
    <w:rsid w:val="00FB4690"/>
    <w:rsid w:val="00FC3CFE"/>
    <w:rsid w:val="00FC3F7B"/>
    <w:rsid w:val="00FC568D"/>
    <w:rsid w:val="00FE1747"/>
    <w:rsid w:val="00FF0412"/>
    <w:rsid w:val="00FF08A1"/>
    <w:rsid w:val="00FF27CC"/>
    <w:rsid w:val="01E16C07"/>
    <w:rsid w:val="021B6523"/>
    <w:rsid w:val="02AB5130"/>
    <w:rsid w:val="06324B81"/>
    <w:rsid w:val="06471795"/>
    <w:rsid w:val="069F3FEC"/>
    <w:rsid w:val="0782231B"/>
    <w:rsid w:val="07D46328"/>
    <w:rsid w:val="082E101D"/>
    <w:rsid w:val="083F70AF"/>
    <w:rsid w:val="08C80EA5"/>
    <w:rsid w:val="08F73070"/>
    <w:rsid w:val="090D2900"/>
    <w:rsid w:val="09277E8E"/>
    <w:rsid w:val="099A4639"/>
    <w:rsid w:val="0AD11788"/>
    <w:rsid w:val="0B282BC9"/>
    <w:rsid w:val="0BDF05C2"/>
    <w:rsid w:val="0BF05246"/>
    <w:rsid w:val="0C1A3787"/>
    <w:rsid w:val="0C605180"/>
    <w:rsid w:val="0C712E3B"/>
    <w:rsid w:val="0C9316C8"/>
    <w:rsid w:val="0D816D63"/>
    <w:rsid w:val="0DDC6DF1"/>
    <w:rsid w:val="0E4F2566"/>
    <w:rsid w:val="0E6E21BF"/>
    <w:rsid w:val="0EE70CD5"/>
    <w:rsid w:val="0F155B4C"/>
    <w:rsid w:val="0F300CEC"/>
    <w:rsid w:val="0F9B6F03"/>
    <w:rsid w:val="0FF47BC8"/>
    <w:rsid w:val="0FFD628A"/>
    <w:rsid w:val="104952FF"/>
    <w:rsid w:val="11641398"/>
    <w:rsid w:val="12A33B8D"/>
    <w:rsid w:val="12BD26FA"/>
    <w:rsid w:val="12C66037"/>
    <w:rsid w:val="1383306F"/>
    <w:rsid w:val="14D26B92"/>
    <w:rsid w:val="14F44440"/>
    <w:rsid w:val="15655FDB"/>
    <w:rsid w:val="156D6C3E"/>
    <w:rsid w:val="16DF34AC"/>
    <w:rsid w:val="16F83DC9"/>
    <w:rsid w:val="172E5DC1"/>
    <w:rsid w:val="17397C63"/>
    <w:rsid w:val="17AE4B92"/>
    <w:rsid w:val="17D27E74"/>
    <w:rsid w:val="18477A90"/>
    <w:rsid w:val="189042E0"/>
    <w:rsid w:val="18BC5F12"/>
    <w:rsid w:val="19236DEE"/>
    <w:rsid w:val="19370284"/>
    <w:rsid w:val="196140EA"/>
    <w:rsid w:val="19B371F1"/>
    <w:rsid w:val="19D76D7C"/>
    <w:rsid w:val="1B9B1171"/>
    <w:rsid w:val="1D4961E3"/>
    <w:rsid w:val="1D7E086A"/>
    <w:rsid w:val="1DE44155"/>
    <w:rsid w:val="1F3B2F9D"/>
    <w:rsid w:val="1F75699E"/>
    <w:rsid w:val="200A1DE1"/>
    <w:rsid w:val="20674B74"/>
    <w:rsid w:val="2136082C"/>
    <w:rsid w:val="21400469"/>
    <w:rsid w:val="221E3587"/>
    <w:rsid w:val="22482F0D"/>
    <w:rsid w:val="226650A3"/>
    <w:rsid w:val="23FB2C0F"/>
    <w:rsid w:val="24C140A4"/>
    <w:rsid w:val="25494FD2"/>
    <w:rsid w:val="25CB2765"/>
    <w:rsid w:val="268F1D4B"/>
    <w:rsid w:val="26FB30A6"/>
    <w:rsid w:val="270311B0"/>
    <w:rsid w:val="270E1B1F"/>
    <w:rsid w:val="27B63352"/>
    <w:rsid w:val="2890309C"/>
    <w:rsid w:val="28E209F7"/>
    <w:rsid w:val="28EF09A3"/>
    <w:rsid w:val="2A984CD6"/>
    <w:rsid w:val="2AC9482C"/>
    <w:rsid w:val="2ADB491E"/>
    <w:rsid w:val="2CE91A20"/>
    <w:rsid w:val="2D572106"/>
    <w:rsid w:val="2E4439CA"/>
    <w:rsid w:val="30507160"/>
    <w:rsid w:val="30D8545C"/>
    <w:rsid w:val="313B2750"/>
    <w:rsid w:val="31A93145"/>
    <w:rsid w:val="31B672C5"/>
    <w:rsid w:val="31B934DF"/>
    <w:rsid w:val="31E16BB0"/>
    <w:rsid w:val="32A509BB"/>
    <w:rsid w:val="32C71C2C"/>
    <w:rsid w:val="32FE3175"/>
    <w:rsid w:val="353C6804"/>
    <w:rsid w:val="35516669"/>
    <w:rsid w:val="3560476E"/>
    <w:rsid w:val="36A74A4A"/>
    <w:rsid w:val="36C67A81"/>
    <w:rsid w:val="37210964"/>
    <w:rsid w:val="37F17AA4"/>
    <w:rsid w:val="3B9E3FA4"/>
    <w:rsid w:val="3BDA652C"/>
    <w:rsid w:val="3CD4757C"/>
    <w:rsid w:val="3CE31022"/>
    <w:rsid w:val="3D874491"/>
    <w:rsid w:val="3EAF1EF2"/>
    <w:rsid w:val="3ECA6999"/>
    <w:rsid w:val="3F056068"/>
    <w:rsid w:val="3F2521B4"/>
    <w:rsid w:val="3FBF1803"/>
    <w:rsid w:val="40131B59"/>
    <w:rsid w:val="40A1786A"/>
    <w:rsid w:val="41317C30"/>
    <w:rsid w:val="41867482"/>
    <w:rsid w:val="42980207"/>
    <w:rsid w:val="42BE6BA7"/>
    <w:rsid w:val="42EB63EA"/>
    <w:rsid w:val="44C40BD1"/>
    <w:rsid w:val="45B216DD"/>
    <w:rsid w:val="476C7B6B"/>
    <w:rsid w:val="48396D9B"/>
    <w:rsid w:val="49BE2A0A"/>
    <w:rsid w:val="49ED0155"/>
    <w:rsid w:val="4A0B3E41"/>
    <w:rsid w:val="4A7F4E6E"/>
    <w:rsid w:val="4A820273"/>
    <w:rsid w:val="4B023291"/>
    <w:rsid w:val="4B0C458C"/>
    <w:rsid w:val="4B0E0FFD"/>
    <w:rsid w:val="4BF01260"/>
    <w:rsid w:val="4C0513A3"/>
    <w:rsid w:val="4CFC70A5"/>
    <w:rsid w:val="4D783DF7"/>
    <w:rsid w:val="4DA644C0"/>
    <w:rsid w:val="4E7C6185"/>
    <w:rsid w:val="4F022D78"/>
    <w:rsid w:val="4F1B61D5"/>
    <w:rsid w:val="4F2C5F9F"/>
    <w:rsid w:val="4F6F6D4E"/>
    <w:rsid w:val="501B2CFB"/>
    <w:rsid w:val="50416073"/>
    <w:rsid w:val="50700DB5"/>
    <w:rsid w:val="528F7C18"/>
    <w:rsid w:val="52AD7020"/>
    <w:rsid w:val="5313540C"/>
    <w:rsid w:val="53DC5D66"/>
    <w:rsid w:val="53E511B0"/>
    <w:rsid w:val="53F11282"/>
    <w:rsid w:val="54BE5115"/>
    <w:rsid w:val="55876B05"/>
    <w:rsid w:val="55AB3A95"/>
    <w:rsid w:val="56823FB0"/>
    <w:rsid w:val="5699540D"/>
    <w:rsid w:val="572F7707"/>
    <w:rsid w:val="57647BBF"/>
    <w:rsid w:val="58677942"/>
    <w:rsid w:val="58877747"/>
    <w:rsid w:val="589E0EC5"/>
    <w:rsid w:val="59B70E7C"/>
    <w:rsid w:val="5B925165"/>
    <w:rsid w:val="5C2B40FC"/>
    <w:rsid w:val="5D644A8A"/>
    <w:rsid w:val="5DFC191D"/>
    <w:rsid w:val="5F9C1D18"/>
    <w:rsid w:val="5FFD59D3"/>
    <w:rsid w:val="604B1B6A"/>
    <w:rsid w:val="604E5B4B"/>
    <w:rsid w:val="6098413C"/>
    <w:rsid w:val="6228564A"/>
    <w:rsid w:val="62D64941"/>
    <w:rsid w:val="63C92398"/>
    <w:rsid w:val="63F1729E"/>
    <w:rsid w:val="64712FA4"/>
    <w:rsid w:val="653A7EB8"/>
    <w:rsid w:val="666176C6"/>
    <w:rsid w:val="66D16109"/>
    <w:rsid w:val="671B5AC7"/>
    <w:rsid w:val="67691755"/>
    <w:rsid w:val="67695311"/>
    <w:rsid w:val="67760F4F"/>
    <w:rsid w:val="6910519B"/>
    <w:rsid w:val="69742851"/>
    <w:rsid w:val="69F15697"/>
    <w:rsid w:val="6A035341"/>
    <w:rsid w:val="6A412290"/>
    <w:rsid w:val="6A5A40E2"/>
    <w:rsid w:val="6A700FDF"/>
    <w:rsid w:val="6A955B90"/>
    <w:rsid w:val="6C784EA1"/>
    <w:rsid w:val="6C9C41FA"/>
    <w:rsid w:val="6CD960E9"/>
    <w:rsid w:val="6D344A39"/>
    <w:rsid w:val="6D3D7890"/>
    <w:rsid w:val="6D5533B5"/>
    <w:rsid w:val="6F4719AC"/>
    <w:rsid w:val="6FD25CD2"/>
    <w:rsid w:val="70395F02"/>
    <w:rsid w:val="71DB5C2E"/>
    <w:rsid w:val="72305EFA"/>
    <w:rsid w:val="72534367"/>
    <w:rsid w:val="744C72C0"/>
    <w:rsid w:val="749C193E"/>
    <w:rsid w:val="752B15CB"/>
    <w:rsid w:val="754528AD"/>
    <w:rsid w:val="75997387"/>
    <w:rsid w:val="75BE0E97"/>
    <w:rsid w:val="75E36A9E"/>
    <w:rsid w:val="75EB14AD"/>
    <w:rsid w:val="7610528F"/>
    <w:rsid w:val="76DF0515"/>
    <w:rsid w:val="77F9BE4B"/>
    <w:rsid w:val="78184C2F"/>
    <w:rsid w:val="783A0729"/>
    <w:rsid w:val="79335F5D"/>
    <w:rsid w:val="7A102B3D"/>
    <w:rsid w:val="7A44283D"/>
    <w:rsid w:val="7AC12B01"/>
    <w:rsid w:val="7B5F5B2A"/>
    <w:rsid w:val="7CA966A2"/>
    <w:rsid w:val="7CC52305"/>
    <w:rsid w:val="7D623E0F"/>
    <w:rsid w:val="7D796C4C"/>
    <w:rsid w:val="7D7E4914"/>
    <w:rsid w:val="7FD826D5"/>
    <w:rsid w:val="BFFFE335"/>
    <w:rsid w:val="EF017647"/>
    <w:rsid w:val="FFFE64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12" w:lineRule="auto"/>
      <w:ind w:firstLine="200" w:firstLineChars="200"/>
      <w:jc w:val="both"/>
    </w:pPr>
    <w:rPr>
      <w:rFonts w:ascii="Times New Roman" w:hAnsi="Times New Roman" w:eastAsia="宋体" w:cs="Times New Roman"/>
      <w:kern w:val="2"/>
      <w:sz w:val="24"/>
      <w:szCs w:val="22"/>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9"/>
    <w:qFormat/>
    <w:uiPriority w:val="0"/>
    <w:pPr>
      <w:keepNext/>
      <w:keepLines/>
      <w:ind w:firstLine="0" w:firstLineChars="0"/>
      <w:jc w:val="center"/>
      <w:outlineLvl w:val="1"/>
    </w:pPr>
    <w:rPr>
      <w:rFonts w:ascii="Cambria" w:hAnsi="Cambria"/>
      <w:b/>
      <w:bCs/>
      <w:sz w:val="36"/>
      <w:szCs w:val="32"/>
    </w:rPr>
  </w:style>
  <w:style w:type="paragraph" w:styleId="5">
    <w:name w:val="heading 3"/>
    <w:basedOn w:val="1"/>
    <w:next w:val="1"/>
    <w:link w:val="22"/>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style>
  <w:style w:type="paragraph" w:styleId="6">
    <w:name w:val="annotation text"/>
    <w:basedOn w:val="1"/>
    <w:link w:val="24"/>
    <w:semiHidden/>
    <w:unhideWhenUsed/>
    <w:qFormat/>
    <w:uiPriority w:val="99"/>
    <w:pPr>
      <w:jc w:val="left"/>
    </w:pPr>
  </w:style>
  <w:style w:type="paragraph" w:styleId="7">
    <w:name w:val="Balloon Text"/>
    <w:basedOn w:val="1"/>
    <w:link w:val="23"/>
    <w:semiHidden/>
    <w:unhideWhenUsed/>
    <w:qFormat/>
    <w:uiPriority w:val="99"/>
    <w:pPr>
      <w:spacing w:line="240" w:lineRule="auto"/>
    </w:pPr>
    <w:rPr>
      <w:sz w:val="18"/>
      <w:szCs w:val="18"/>
    </w:rPr>
  </w:style>
  <w:style w:type="paragraph" w:styleId="8">
    <w:name w:val="footer"/>
    <w:basedOn w:val="1"/>
    <w:link w:val="21"/>
    <w:unhideWhenUsed/>
    <w:qFormat/>
    <w:uiPriority w:val="99"/>
    <w:pPr>
      <w:tabs>
        <w:tab w:val="center" w:pos="4153"/>
        <w:tab w:val="right" w:pos="8306"/>
      </w:tabs>
      <w:snapToGrid w:val="0"/>
      <w:spacing w:line="240" w:lineRule="auto"/>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cs="宋体"/>
      <w:kern w:val="0"/>
      <w:szCs w:val="24"/>
    </w:rPr>
  </w:style>
  <w:style w:type="paragraph" w:styleId="13">
    <w:name w:val="Title"/>
    <w:basedOn w:val="1"/>
    <w:next w:val="1"/>
    <w:qFormat/>
    <w:uiPriority w:val="0"/>
    <w:pPr>
      <w:spacing w:before="240" w:after="60"/>
      <w:jc w:val="center"/>
      <w:outlineLvl w:val="0"/>
    </w:pPr>
    <w:rPr>
      <w:rFonts w:ascii="Cambria" w:hAnsi="Cambria"/>
      <w:b/>
      <w:bCs/>
      <w:sz w:val="32"/>
      <w:szCs w:val="32"/>
    </w:rPr>
  </w:style>
  <w:style w:type="paragraph" w:styleId="14">
    <w:name w:val="annotation subject"/>
    <w:basedOn w:val="6"/>
    <w:next w:val="6"/>
    <w:link w:val="26"/>
    <w:semiHidden/>
    <w:unhideWhenUsed/>
    <w:qFormat/>
    <w:uiPriority w:val="99"/>
    <w:rPr>
      <w:b/>
      <w:bCs/>
    </w:rPr>
  </w:style>
  <w:style w:type="character" w:styleId="17">
    <w:name w:val="Hyperlink"/>
    <w:basedOn w:val="16"/>
    <w:unhideWhenUsed/>
    <w:qFormat/>
    <w:uiPriority w:val="99"/>
    <w:rPr>
      <w:color w:val="0000FF" w:themeColor="hyperlink"/>
      <w:u w:val="single"/>
      <w14:textFill>
        <w14:solidFill>
          <w14:schemeClr w14:val="hlink"/>
        </w14:solidFill>
      </w14:textFill>
    </w:rPr>
  </w:style>
  <w:style w:type="character" w:styleId="18">
    <w:name w:val="annotation reference"/>
    <w:basedOn w:val="16"/>
    <w:semiHidden/>
    <w:unhideWhenUsed/>
    <w:qFormat/>
    <w:uiPriority w:val="99"/>
    <w:rPr>
      <w:sz w:val="21"/>
      <w:szCs w:val="21"/>
    </w:rPr>
  </w:style>
  <w:style w:type="character" w:customStyle="1" w:styleId="19">
    <w:name w:val="标题 2 Char"/>
    <w:basedOn w:val="16"/>
    <w:link w:val="4"/>
    <w:qFormat/>
    <w:uiPriority w:val="0"/>
    <w:rPr>
      <w:rFonts w:ascii="Cambria" w:hAnsi="Cambria" w:eastAsia="宋体" w:cs="Times New Roman"/>
      <w:b/>
      <w:bCs/>
      <w:sz w:val="36"/>
      <w:szCs w:val="32"/>
    </w:rPr>
  </w:style>
  <w:style w:type="character" w:customStyle="1" w:styleId="20">
    <w:name w:val="页眉 Char"/>
    <w:basedOn w:val="16"/>
    <w:link w:val="9"/>
    <w:qFormat/>
    <w:uiPriority w:val="99"/>
    <w:rPr>
      <w:rFonts w:ascii="Times New Roman" w:hAnsi="Times New Roman" w:eastAsia="宋体" w:cs="Times New Roman"/>
      <w:sz w:val="18"/>
      <w:szCs w:val="18"/>
    </w:rPr>
  </w:style>
  <w:style w:type="character" w:customStyle="1" w:styleId="21">
    <w:name w:val="页脚 Char"/>
    <w:basedOn w:val="16"/>
    <w:link w:val="8"/>
    <w:qFormat/>
    <w:uiPriority w:val="99"/>
    <w:rPr>
      <w:rFonts w:ascii="Times New Roman" w:hAnsi="Times New Roman" w:eastAsia="宋体" w:cs="Times New Roman"/>
      <w:sz w:val="18"/>
      <w:szCs w:val="18"/>
    </w:rPr>
  </w:style>
  <w:style w:type="character" w:customStyle="1" w:styleId="22">
    <w:name w:val="标题 3 Char"/>
    <w:basedOn w:val="16"/>
    <w:link w:val="5"/>
    <w:qFormat/>
    <w:uiPriority w:val="9"/>
    <w:rPr>
      <w:rFonts w:ascii="Times New Roman" w:hAnsi="Times New Roman" w:eastAsia="宋体" w:cs="Times New Roman"/>
      <w:b/>
      <w:bCs/>
      <w:sz w:val="32"/>
      <w:szCs w:val="32"/>
    </w:rPr>
  </w:style>
  <w:style w:type="character" w:customStyle="1" w:styleId="23">
    <w:name w:val="批注框文本 Char"/>
    <w:basedOn w:val="16"/>
    <w:link w:val="7"/>
    <w:semiHidden/>
    <w:qFormat/>
    <w:uiPriority w:val="99"/>
    <w:rPr>
      <w:rFonts w:ascii="Times New Roman" w:hAnsi="Times New Roman" w:eastAsia="宋体" w:cs="Times New Roman"/>
      <w:sz w:val="18"/>
      <w:szCs w:val="18"/>
    </w:rPr>
  </w:style>
  <w:style w:type="character" w:customStyle="1" w:styleId="24">
    <w:name w:val="批注文字 Char"/>
    <w:basedOn w:val="16"/>
    <w:link w:val="6"/>
    <w:semiHidden/>
    <w:qFormat/>
    <w:uiPriority w:val="99"/>
    <w:rPr>
      <w:rFonts w:ascii="Times New Roman" w:hAnsi="Times New Roman" w:eastAsia="宋体" w:cs="Times New Roman"/>
      <w:sz w:val="24"/>
    </w:rPr>
  </w:style>
  <w:style w:type="paragraph" w:styleId="25">
    <w:name w:val="List Paragraph"/>
    <w:basedOn w:val="1"/>
    <w:qFormat/>
    <w:uiPriority w:val="34"/>
    <w:pPr>
      <w:ind w:firstLine="420"/>
    </w:pPr>
  </w:style>
  <w:style w:type="character" w:customStyle="1" w:styleId="26">
    <w:name w:val="批注主题 Char"/>
    <w:basedOn w:val="24"/>
    <w:link w:val="14"/>
    <w:semiHidden/>
    <w:qFormat/>
    <w:uiPriority w:val="99"/>
    <w:rPr>
      <w:rFonts w:ascii="Times New Roman" w:hAnsi="Times New Roman" w:eastAsia="宋体" w:cs="Times New Roman"/>
      <w:b/>
      <w:bCs/>
      <w:sz w:val="24"/>
    </w:rPr>
  </w:style>
  <w:style w:type="character" w:customStyle="1" w:styleId="27">
    <w:name w:val="标题 1 Char"/>
    <w:basedOn w:val="16"/>
    <w:link w:val="3"/>
    <w:qFormat/>
    <w:uiPriority w:val="9"/>
    <w:rPr>
      <w:rFonts w:ascii="Times New Roman" w:hAnsi="Times New Roman" w:eastAsia="宋体" w:cs="Times New Roman"/>
      <w:b/>
      <w:bCs/>
      <w:kern w:val="44"/>
      <w:sz w:val="44"/>
      <w:szCs w:val="44"/>
    </w:rPr>
  </w:style>
  <w:style w:type="paragraph" w:customStyle="1" w:styleId="28">
    <w:name w:val="WPSOffice手动目录 1"/>
    <w:qFormat/>
    <w:uiPriority w:val="0"/>
    <w:rPr>
      <w:rFonts w:asciiTheme="minorHAnsi" w:hAnsiTheme="minorHAnsi" w:eastAsiaTheme="minorEastAsia" w:cstheme="minorBidi"/>
      <w:lang w:val="en-US" w:eastAsia="zh-CN" w:bidi="ar-SA"/>
    </w:rPr>
  </w:style>
  <w:style w:type="paragraph" w:customStyle="1" w:styleId="29">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8836</Words>
  <Characters>10107</Characters>
  <Lines>86</Lines>
  <Paragraphs>24</Paragraphs>
  <TotalTime>34</TotalTime>
  <ScaleCrop>false</ScaleCrop>
  <LinksUpToDate>false</LinksUpToDate>
  <CharactersWithSpaces>10139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2019-09-29T01:10:00Z</dcterms:created>
  <dc:creator>63088</dc:creator>
  <cp:lastModifiedBy>Reading</cp:lastModifiedBy>
  <cp:lastPrinted>2019-10-01T06:44:00Z</cp:lastPrinted>
  <dcterms:modified xsi:type="dcterms:W3CDTF">2025-03-13T06:34:26Z</dcterms:modified>
  <cp:revision>217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8790F6C92BF144B99A6BDBB915F91F42_13</vt:lpwstr>
  </property>
  <property fmtid="{D5CDD505-2E9C-101B-9397-08002B2CF9AE}" pid="4" name="KSOTemplateDocerSaveRecord">
    <vt:lpwstr>eyJoZGlkIjoiOWI0MGY4YjI0NzAzMDYxNWYyNzk1YzZhOGRlM2UzNDUiLCJ1c2VySWQiOiIxMTM2ODYzMjQwIn0=</vt:lpwstr>
  </property>
</Properties>
</file>