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8F89A">
      <w:pPr>
        <w:spacing w:line="540" w:lineRule="exact"/>
        <w:jc w:val="left"/>
        <w:rPr>
          <w:rFonts w:hint="eastAsia" w:ascii="黑体" w:hAnsi="黑体" w:eastAsia="黑体" w:cs="黑体"/>
          <w:color w:val="000000"/>
        </w:rPr>
      </w:pPr>
      <w:r>
        <w:rPr>
          <w:rFonts w:hint="eastAsia" w:ascii="黑体" w:hAnsi="黑体" w:eastAsia="黑体" w:cs="黑体"/>
          <w:color w:val="000000"/>
        </w:rPr>
        <w:t>附件2</w:t>
      </w:r>
    </w:p>
    <w:p w14:paraId="429EBD7F">
      <w:pPr>
        <w:snapToGrid w:val="0"/>
        <w:spacing w:line="62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北京市2027年绿色电力交易方案</w:t>
      </w:r>
    </w:p>
    <w:p w14:paraId="2BCA618F">
      <w:pPr>
        <w:spacing w:line="640" w:lineRule="exact"/>
        <w:jc w:val="center"/>
        <w:rPr>
          <w:rFonts w:hint="eastAsia" w:ascii="华文楷体" w:hAnsi="华文楷体" w:eastAsia="华文楷体" w:cs="华文楷体"/>
          <w:b/>
          <w:bCs/>
        </w:rPr>
      </w:pPr>
      <w:r>
        <w:rPr>
          <w:rFonts w:hint="eastAsia" w:ascii="华文楷体" w:hAnsi="华文楷体" w:eastAsia="华文楷体" w:cs="华文楷体"/>
          <w:b/>
          <w:bCs/>
        </w:rPr>
        <w:t>（征求意见稿）</w:t>
      </w:r>
    </w:p>
    <w:p w14:paraId="34D404EF">
      <w:pPr>
        <w:snapToGrid w:val="0"/>
        <w:spacing w:line="640" w:lineRule="exact"/>
        <w:jc w:val="center"/>
        <w:rPr>
          <w:rFonts w:hint="eastAsia" w:ascii="华文楷体" w:hAnsi="华文楷体" w:eastAsia="华文楷体" w:cs="华文楷体"/>
          <w:b/>
          <w:color w:val="000000"/>
          <w:sz w:val="44"/>
          <w:szCs w:val="44"/>
        </w:rPr>
      </w:pPr>
    </w:p>
    <w:p w14:paraId="44CE0676">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为贯彻落实碳达峰、碳中和战略部署，加快建立有利于促进绿色能源生产消费的市场体系和长效机制，推进本市绿色电力交易工作有序开展，按照《国家发展改革委办公厅、国家能源局综合司关于有序推进绿色电力交易有关事项的通知》（发改办体改〔2022〕821号）、《国家发展改革委、国家能源局关于深化新能源上网电价市场化改革促进新能源高质量发展的</w:t>
      </w:r>
      <w:r>
        <w:rPr>
          <w:rFonts w:hint="eastAsia" w:ascii="仿宋_GB2312" w:hAnsi="仿宋_GB2312" w:cs="仿宋_GB2312"/>
          <w:bCs/>
          <w:color w:val="000000"/>
          <w:spacing w:val="6"/>
        </w:rPr>
        <w:t>通知》（发改价格〔2025〕136号）等文件要求，特制定本方案。</w:t>
      </w:r>
    </w:p>
    <w:p w14:paraId="2EDABB34">
      <w:pPr>
        <w:snapToGrid w:val="0"/>
        <w:spacing w:line="580" w:lineRule="exact"/>
        <w:ind w:firstLine="640" w:firstLineChars="200"/>
        <w:rPr>
          <w:rFonts w:hint="eastAsia" w:ascii="黑体" w:eastAsia="黑体" w:cs="黑体"/>
          <w:bCs/>
          <w:color w:val="000000"/>
        </w:rPr>
      </w:pPr>
      <w:r>
        <w:rPr>
          <w:rFonts w:hint="eastAsia" w:ascii="黑体" w:eastAsia="黑体" w:cs="黑体"/>
          <w:bCs/>
          <w:color w:val="000000"/>
        </w:rPr>
        <w:t>一、绿色电力交易定义</w:t>
      </w:r>
    </w:p>
    <w:p w14:paraId="184C87AB">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绿色电力交易是指以绿色电力和对应绿色电力环境价值为标的物的电力交易品种，交易电力同时提供国家核发的可再生能源绿色电力证书（以下简称绿证），用以满足发电企业、售电公司电力用户等出售、购买绿色电力的需求。初期，参与绿色电力交易的可再生能源发电项目为风电、光伏发电项目，条件成熟时，可逐步扩大至符合条件的其他可再生能源。售电公司、电力用户可通过绿色电力交易平台（以下简称交易平台）购买绿色电力。</w:t>
      </w:r>
    </w:p>
    <w:p w14:paraId="4AFD736D">
      <w:pPr>
        <w:numPr>
          <w:ilvl w:val="0"/>
          <w:numId w:val="1"/>
        </w:numPr>
        <w:snapToGrid w:val="0"/>
        <w:spacing w:line="580" w:lineRule="exact"/>
        <w:ind w:firstLine="640" w:firstLineChars="200"/>
        <w:rPr>
          <w:rFonts w:hint="eastAsia" w:ascii="黑体" w:eastAsia="黑体" w:cs="黑体"/>
          <w:bCs/>
          <w:color w:val="000000"/>
        </w:rPr>
      </w:pPr>
      <w:r>
        <w:rPr>
          <w:rFonts w:hint="eastAsia" w:ascii="黑体" w:eastAsia="黑体" w:cs="黑体"/>
          <w:bCs/>
          <w:color w:val="000000"/>
        </w:rPr>
        <w:t>经营主体</w:t>
      </w:r>
    </w:p>
    <w:p w14:paraId="7842014C">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参与本市绿色电力交易的经营主体包括：新能源发电企业、售电公司</w:t>
      </w:r>
      <w:bookmarkStart w:id="2" w:name="_GoBack"/>
      <w:bookmarkEnd w:id="2"/>
      <w:r>
        <w:rPr>
          <w:rFonts w:hint="eastAsia" w:ascii="仿宋_GB2312" w:hAnsi="仿宋_GB2312" w:cs="仿宋_GB2312"/>
          <w:bCs/>
          <w:color w:val="000000"/>
        </w:rPr>
        <w:t>、电力用户。</w:t>
      </w:r>
    </w:p>
    <w:p w14:paraId="1738C59C">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本市新能源发电企业参与市场按照《北京市2027年新能源发电企业参与电力中长期交易实施细则》（见附件）执行。</w:t>
      </w:r>
    </w:p>
    <w:p w14:paraId="7801B508">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售电公司、电力用户（含批发用户、零售用户）须在交易平台注册生效。批发用户直接与发电企业进行交易购买绿色电力产品，零售用户通过售电公司代理购买绿色电力产品。零售用户与售电公司签订市场化购售电合同结算确认协议，提交首都电力交易中心后，由售电公司代理参加绿色电力交易，并与售电公司保持其他市场电量代理关系不变。</w:t>
      </w:r>
    </w:p>
    <w:p w14:paraId="748AD90E">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相关经营主体根据自身实际需求，在充分知悉绿色电力市场交易风险前提下，秉承真实、自愿原则参与绿色电力交易。</w:t>
      </w:r>
    </w:p>
    <w:p w14:paraId="0DB5F6AF">
      <w:pPr>
        <w:snapToGrid w:val="0"/>
        <w:spacing w:line="580" w:lineRule="exact"/>
        <w:ind w:firstLine="640" w:firstLineChars="200"/>
        <w:rPr>
          <w:rFonts w:hint="eastAsia" w:ascii="黑体" w:eastAsia="黑体" w:cs="黑体"/>
          <w:bCs/>
          <w:color w:val="000000"/>
        </w:rPr>
      </w:pPr>
      <w:r>
        <w:rPr>
          <w:rFonts w:hint="eastAsia" w:ascii="黑体" w:eastAsia="黑体" w:cs="黑体"/>
          <w:bCs/>
          <w:color w:val="000000"/>
        </w:rPr>
        <w:t>三、交易方式</w:t>
      </w:r>
    </w:p>
    <w:p w14:paraId="18C55026">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2027年本市绿色电力交易主要包括本市经营主体参与北京市绿色电力交易、京津唐电网绿色电力交易、跨区跨省绿色电力交易。绿色电力交易依托交易平台开展，北京市绿色电力交易方式为双边协商、挂牌交易等；京津唐电网绿色电力交易方式为双边协商、集中竞价；在参与跨区跨省绿色电力交易时，</w:t>
      </w:r>
      <w:r>
        <w:rPr>
          <w:rFonts w:hint="eastAsia" w:ascii="仿宋_GB2312" w:hAnsi="仿宋_GB2312" w:cs="仿宋_GB2312"/>
          <w:bCs/>
          <w:color w:val="000000"/>
          <w:spacing w:val="6"/>
        </w:rPr>
        <w:t>鼓励发用双方签订多年期绿色电力购买协议，并支持常态化开市。</w:t>
      </w:r>
    </w:p>
    <w:p w14:paraId="64A07A99">
      <w:pPr>
        <w:spacing w:line="580" w:lineRule="exact"/>
        <w:ind w:firstLine="640" w:firstLineChars="200"/>
        <w:rPr>
          <w:rFonts w:hint="eastAsia" w:ascii="黑体" w:eastAsia="黑体" w:cs="黑体"/>
          <w:bCs/>
          <w:color w:val="000000"/>
        </w:rPr>
      </w:pPr>
      <w:r>
        <w:rPr>
          <w:rFonts w:hint="eastAsia" w:ascii="黑体" w:eastAsia="黑体" w:cs="黑体"/>
          <w:bCs/>
          <w:color w:val="000000"/>
        </w:rPr>
        <w:t>四、交易安排</w:t>
      </w:r>
    </w:p>
    <w:p w14:paraId="7B8C33A5">
      <w:pPr>
        <w:numPr>
          <w:ilvl w:val="0"/>
          <w:numId w:val="2"/>
        </w:numPr>
        <w:snapToGrid w:val="0"/>
        <w:spacing w:line="580" w:lineRule="exact"/>
        <w:ind w:firstLine="640" w:firstLineChars="200"/>
        <w:outlineLvl w:val="1"/>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交易周期</w:t>
      </w:r>
    </w:p>
    <w:p w14:paraId="4CA628A4">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北京电力交易中心会同首都电力交易中心根据经营主体需求及风电、光伏发电企业交易意向，以年（多年）、月（多月）、月内等为周期常态化组织开展绿色电力交易。</w:t>
      </w:r>
    </w:p>
    <w:p w14:paraId="1D720468">
      <w:pPr>
        <w:numPr>
          <w:ilvl w:val="0"/>
          <w:numId w:val="2"/>
        </w:numPr>
        <w:snapToGrid w:val="0"/>
        <w:spacing w:line="580" w:lineRule="exact"/>
        <w:ind w:firstLine="640" w:firstLineChars="200"/>
        <w:outlineLvl w:val="1"/>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交易申报</w:t>
      </w:r>
    </w:p>
    <w:p w14:paraId="3A1FC1AE">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经营主体参与绿色电力交易时，申报方式参照《北京市2027年电力市场化交易方案》执行，分月电量不得超过其月度实际最大可发、用电能力。</w:t>
      </w:r>
    </w:p>
    <w:p w14:paraId="6F55F704">
      <w:pPr>
        <w:numPr>
          <w:ilvl w:val="0"/>
          <w:numId w:val="2"/>
        </w:numPr>
        <w:snapToGrid w:val="0"/>
        <w:spacing w:line="580" w:lineRule="exact"/>
        <w:ind w:firstLine="640" w:firstLineChars="200"/>
        <w:outlineLvl w:val="1"/>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交易价格</w:t>
      </w:r>
    </w:p>
    <w:p w14:paraId="4FF2473E">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绿色电力交易价格由市场化机制形成，应充分体现电能量价格和绿色电力环境价值。用户用电价格由绿色电力交易价格、上网环节线损费用、输配电价、系统运行费用、政府性基金及附加构成。绿色电力环境价值可参考国网经营区平价绿证市场上一结算周期（以交易公告为准）的平均价格（大于0元）。上网环节线损费用按照电能量价格依据有关政策规则执行，输配电价、系统运行费用、政府性基金及附加按照国家及北京市有关规定执行。执行峰谷分时电价政策的用户，继续执行峰谷分时电价政策。原则上，绿色电力环境价值不纳入峰谷分时电价机制以及力调电费等计算，具体按照国家及北京市有关政策规定执行。</w:t>
      </w:r>
    </w:p>
    <w:p w14:paraId="1CA3F9DB">
      <w:pPr>
        <w:snapToGrid w:val="0"/>
        <w:spacing w:line="580" w:lineRule="exact"/>
        <w:ind w:firstLine="640" w:firstLineChars="200"/>
        <w:rPr>
          <w:rFonts w:hint="eastAsia" w:ascii="黑体" w:eastAsia="黑体" w:cs="黑体"/>
          <w:bCs/>
          <w:color w:val="000000"/>
        </w:rPr>
      </w:pPr>
      <w:r>
        <w:rPr>
          <w:rFonts w:hint="eastAsia" w:ascii="黑体" w:eastAsia="黑体" w:cs="黑体"/>
          <w:bCs/>
          <w:color w:val="000000"/>
        </w:rPr>
        <w:t>五、交易组织</w:t>
      </w:r>
    </w:p>
    <w:p w14:paraId="59B5025A">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北京市绿色电力交易工作由北京电力交易中心、首都电力交易中心共同组织开展。</w:t>
      </w:r>
    </w:p>
    <w:p w14:paraId="10280E97">
      <w:pPr>
        <w:snapToGrid w:val="0"/>
        <w:spacing w:line="580" w:lineRule="exact"/>
        <w:ind w:firstLine="640" w:firstLineChars="200"/>
        <w:outlineLvl w:val="2"/>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（一）北京市绿色电力交易组织流程</w:t>
      </w:r>
    </w:p>
    <w:p w14:paraId="6BC46CCD">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北京市绿色电力交易组织流程按照附件执行。</w:t>
      </w:r>
    </w:p>
    <w:p w14:paraId="698EEC48">
      <w:pPr>
        <w:snapToGrid w:val="0"/>
        <w:spacing w:line="580" w:lineRule="exact"/>
        <w:ind w:firstLine="640" w:firstLineChars="200"/>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（二）京津唐电网绿色电力交易组织流程</w:t>
      </w:r>
    </w:p>
    <w:p w14:paraId="2B0B7115">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1.需求申报</w:t>
      </w:r>
    </w:p>
    <w:p w14:paraId="70FDEDD2">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北京电力交易中心会同首都电力交易中心在交易平台发布交易公告。经营主体按时间规定申报、确认电量（电力）、电价等信息，交易平台出清形成无约束交易结果。</w:t>
      </w:r>
    </w:p>
    <w:p w14:paraId="58997E29">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2.安全校核</w:t>
      </w:r>
    </w:p>
    <w:p w14:paraId="1389C1E4">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北京电力交易中心将无约束交易结果提交相关调度机构安全校核，经安全校核后发布有约束交易结果。</w:t>
      </w:r>
    </w:p>
    <w:p w14:paraId="26DFF6E3">
      <w:pPr>
        <w:snapToGrid w:val="0"/>
        <w:spacing w:line="580" w:lineRule="exact"/>
        <w:ind w:firstLine="640" w:firstLineChars="200"/>
        <w:outlineLvl w:val="2"/>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（三）跨区跨省绿色电力交易组织流程</w:t>
      </w:r>
    </w:p>
    <w:p w14:paraId="790F18A3">
      <w:pPr>
        <w:spacing w:line="580" w:lineRule="exact"/>
        <w:ind w:firstLine="664" w:firstLineChars="200"/>
        <w:rPr>
          <w:rFonts w:hint="eastAsia" w:ascii="仿宋_GB2312" w:hAnsi="仿宋_GB2312" w:cs="仿宋_GB2312"/>
          <w:bCs/>
          <w:color w:val="000000"/>
          <w:spacing w:val="6"/>
        </w:rPr>
      </w:pPr>
      <w:r>
        <w:rPr>
          <w:rFonts w:hint="eastAsia" w:ascii="仿宋_GB2312" w:hAnsi="仿宋_GB2312" w:cs="仿宋_GB2312"/>
          <w:bCs/>
          <w:color w:val="000000"/>
          <w:spacing w:val="6"/>
        </w:rPr>
        <w:t>跨区跨省绿色电力交易按照国家相关部门规则文件组织实施。</w:t>
      </w:r>
    </w:p>
    <w:p w14:paraId="53310B91">
      <w:pPr>
        <w:snapToGrid w:val="0"/>
        <w:spacing w:line="580" w:lineRule="exact"/>
        <w:ind w:firstLine="640" w:firstLineChars="200"/>
        <w:rPr>
          <w:rFonts w:hint="eastAsia" w:ascii="黑体" w:eastAsia="黑体" w:cs="黑体"/>
          <w:bCs/>
          <w:color w:val="000000"/>
        </w:rPr>
      </w:pPr>
      <w:r>
        <w:rPr>
          <w:rFonts w:hint="eastAsia" w:ascii="黑体" w:eastAsia="黑体" w:cs="黑体"/>
          <w:bCs/>
          <w:color w:val="000000"/>
        </w:rPr>
        <w:t>六、交易结算</w:t>
      </w:r>
    </w:p>
    <w:p w14:paraId="1B959850">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绿色电力交易优先结算，月结月清，合同偏差电量不滚动调整。经营主体应分别明确电能量价格与绿色电力环境价值。其中，电能量价格结算方式、用户侧调节系数参照《北京市2027年电力市场化交易方案》执行；绿色电力环境价值按当月合同电量、发电企业上网电量（扣除纳入可持续发展价格结算机制的电量）、电力用户用电量三者取小的原则确定结算数量（以兆瓦时为单位取整数，尾差滚动到次月核算）进行结算。其中，同一电力用户/售电公司与多个发电企业签约，总用电量低于总合同电量的，该电力用户/售电公司对应于各发电企业的用电量按总用电量占总合同电量比重等比例调减；同一发电企业与多个电力用户/售电公司签约的，总上网电量低于总合同电量时，该发电企业对应于各电力用户/售电公司的上网电量按总上网电量占总合同电量比重等比例调减。</w:t>
      </w:r>
    </w:p>
    <w:p w14:paraId="5500F859">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小时级绿电交易实行电能量与绿色电力环境价值分开结算。计算电能量偏差电量时，按当月实际用电量与各类交易合同总电量差值计算；计算绿色电力环境价值时，优先进行小时级绿色电力环境价值清分结算，按每小时的合同电量、发电企业上网电量（扣除纳入可持续发展价格结算机制的电量）、电力用户用电量三者取小确定绿证数量。</w:t>
      </w:r>
    </w:p>
    <w:p w14:paraId="21444C85">
      <w:pPr>
        <w:snapToGrid w:val="0"/>
        <w:spacing w:line="580" w:lineRule="exact"/>
        <w:ind w:firstLine="640" w:firstLineChars="200"/>
        <w:rPr>
          <w:rFonts w:hint="eastAsia" w:ascii="黑体" w:eastAsia="黑体" w:cs="黑体"/>
          <w:bCs/>
          <w:color w:val="000000"/>
        </w:rPr>
      </w:pPr>
      <w:r>
        <w:rPr>
          <w:rFonts w:hint="eastAsia" w:ascii="黑体" w:eastAsia="黑体" w:cs="黑体"/>
          <w:bCs/>
          <w:color w:val="000000"/>
        </w:rPr>
        <w:t>七、绿证划转</w:t>
      </w:r>
    </w:p>
    <w:p w14:paraId="54384A28">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国家能源局电力业务资质管理中心为新能源发电企业核发绿证，并将有关信息推送至北京电力交易中心，绿证信息计入交易平台发电企业的绿色电力账户；</w:t>
      </w:r>
      <w:bookmarkStart w:id="0" w:name="_Hlk242351710"/>
      <w:r>
        <w:rPr>
          <w:rFonts w:hint="eastAsia" w:ascii="仿宋_GB2312" w:hAnsi="仿宋_GB2312" w:cs="仿宋_GB2312"/>
          <w:bCs/>
          <w:color w:val="000000"/>
        </w:rPr>
        <w:t>参与绿色电力交易的对应绿证通过国家绿证核发交易系统，由国家能源局资质中心依据绿色电力交易结算结果等信息划转，划转后的绿证相关信息与北京电力交易中心同步</w:t>
      </w:r>
      <w:bookmarkEnd w:id="0"/>
      <w:r>
        <w:rPr>
          <w:rFonts w:hint="eastAsia" w:ascii="仿宋_GB2312" w:hAnsi="仿宋_GB2312" w:cs="仿宋_GB2312"/>
          <w:bCs/>
          <w:color w:val="000000"/>
        </w:rPr>
        <w:t>。</w:t>
      </w:r>
    </w:p>
    <w:p w14:paraId="0E81B115">
      <w:pPr>
        <w:snapToGrid w:val="0"/>
        <w:spacing w:line="580" w:lineRule="exact"/>
        <w:ind w:firstLine="640" w:firstLineChars="200"/>
        <w:rPr>
          <w:rFonts w:hint="eastAsia" w:ascii="黑体" w:eastAsia="黑体" w:cs="黑体"/>
          <w:bCs/>
          <w:color w:val="000000"/>
        </w:rPr>
      </w:pPr>
      <w:r>
        <w:rPr>
          <w:rFonts w:hint="eastAsia" w:ascii="黑体" w:eastAsia="黑体" w:cs="黑体"/>
          <w:bCs/>
          <w:color w:val="000000"/>
        </w:rPr>
        <w:t>八、相关工作要求</w:t>
      </w:r>
    </w:p>
    <w:p w14:paraId="20733039">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（一）本市新能源发电企业具体实施细则详见附件。</w:t>
      </w:r>
    </w:p>
    <w:p w14:paraId="7E0DBA05">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（二）绿证是我国可再生能源电量环境属性的唯一证明，是认定可再生能源电力生产、消费的唯一凭证。</w:t>
      </w:r>
    </w:p>
    <w:p w14:paraId="6FA63E4F">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（三）鼓励电力用户积极参与绿色电力交易，提高可再生能源消费占比，在绿色电力交易各个环节落实优先组织、优先调度、优先结算相关要求。</w:t>
      </w:r>
    </w:p>
    <w:p w14:paraId="57B15D80">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四）鼓励跨国公司及其产业链企业、外向型企业、行业龙头企业购买绿证、使用绿色电力产品，发挥示范带动作用。支持外商投资企业参与绿证交易和绿色电力交易。推动中央企业、地方国有企业、机关和事业单位发挥先行带头作用，稳步提升绿色电力产品消费比例。强化高耗能企业绿色电力消费责任，按要求提升绿色电力消费水平。支持重点碳排放单位、数据中心、新能源车、重点产业等高比例消费绿色电力，打造绿色电力企业、绿色电力园区、绿色电力单位。支持城市副中心开展绿色电力、绿证交易，助力高质量发展。</w:t>
      </w:r>
    </w:p>
    <w:p w14:paraId="4A5CDAA1">
      <w:pPr>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（五）交易公告发布前，应报送市城市管理委。北京电力交易中心、首都电力交易中心应及时组织有意向参与绿色电力交易的经营主体进行交易平台操作培训和政策宣贯。</w:t>
      </w:r>
    </w:p>
    <w:p w14:paraId="673C383D">
      <w:pPr>
        <w:widowControl/>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（六）北京市2027年绿色电力交易按照本方案执行，如遇政策调整，由市城市管理委另行发布。京津冀北电力现货市场开展结算试运行后，相关规则另行制定。</w:t>
      </w:r>
    </w:p>
    <w:p w14:paraId="0C466FA1">
      <w:pPr>
        <w:spacing w:line="580" w:lineRule="exact"/>
        <w:ind w:left="1280" w:leftChars="200" w:hanging="640" w:hangingChars="200"/>
        <w:rPr>
          <w:rFonts w:hint="eastAsia" w:ascii="仿宋_GB2312" w:hAnsi="仿宋_GB2312" w:cs="仿宋_GB2312"/>
          <w:bCs/>
          <w:color w:val="000000"/>
          <w:spacing w:val="-6"/>
        </w:rPr>
      </w:pPr>
      <w:r>
        <w:rPr>
          <w:rFonts w:hint="eastAsia" w:ascii="仿宋_GB2312" w:hAnsi="仿宋_GB2312" w:cs="仿宋_GB2312"/>
          <w:bCs/>
          <w:color w:val="000000"/>
        </w:rPr>
        <w:t>附：</w:t>
      </w:r>
      <w:r>
        <w:rPr>
          <w:rFonts w:hint="eastAsia" w:ascii="仿宋_GB2312" w:hAnsi="仿宋_GB2312" w:cs="仿宋_GB2312"/>
          <w:bCs/>
          <w:color w:val="000000"/>
          <w:spacing w:val="-6"/>
        </w:rPr>
        <w:t>北京市2027年新能源发电企业参与电力中长期交易实施细则</w:t>
      </w:r>
    </w:p>
    <w:p w14:paraId="05352372">
      <w:pPr>
        <w:snapToGrid w:val="0"/>
        <w:spacing w:line="600" w:lineRule="exact"/>
        <w:rPr>
          <w:rFonts w:hint="eastAsia" w:ascii="方正小标宋简体" w:hAnsi="方正小标宋简体" w:eastAsia="方正小标宋简体" w:cs="方正小标宋简体"/>
          <w:bCs/>
          <w:color w:val="000000"/>
          <w:sz w:val="44"/>
          <w:szCs w:val="44"/>
        </w:rPr>
      </w:pPr>
      <w:r>
        <w:rPr>
          <w:rFonts w:hint="eastAsia" w:ascii="CESI宋体-GB18030" w:hAnsi="CESI宋体-GB18030" w:eastAsia="CESI宋体-GB18030" w:cs="CESI宋体-GB18030"/>
          <w:color w:val="000000"/>
        </w:rPr>
        <w:br w:type="page"/>
      </w:r>
      <w:r>
        <w:rPr>
          <w:rFonts w:hint="eastAsia" w:ascii="黑体" w:hAnsi="黑体" w:eastAsia="黑体" w:cs="CESI宋体-GB18030"/>
          <w:color w:val="000000"/>
        </w:rPr>
        <w:t xml:space="preserve">附 </w:t>
      </w:r>
    </w:p>
    <w:p w14:paraId="629D897B">
      <w:pPr>
        <w:snapToGrid w:val="0"/>
        <w:spacing w:line="620" w:lineRule="exact"/>
        <w:jc w:val="center"/>
        <w:rPr>
          <w:rFonts w:hint="eastAsia" w:ascii="方正小标宋简体" w:hAnsi="方正小标宋简体" w:eastAsia="方正小标宋简体" w:cs="方正小标宋简体"/>
          <w:bCs/>
          <w:color w:val="000000"/>
          <w:sz w:val="44"/>
          <w:szCs w:val="44"/>
        </w:rPr>
      </w:pPr>
    </w:p>
    <w:p w14:paraId="50B00EF2">
      <w:pPr>
        <w:snapToGrid w:val="0"/>
        <w:spacing w:line="62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北京市2027年新能源发电企业参与</w:t>
      </w:r>
    </w:p>
    <w:p w14:paraId="0D3A3CE6">
      <w:pPr>
        <w:snapToGrid w:val="0"/>
        <w:spacing w:line="62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电力中长期交易实施细则</w:t>
      </w:r>
    </w:p>
    <w:p w14:paraId="0E3EF503">
      <w:pPr>
        <w:spacing w:line="620" w:lineRule="exact"/>
        <w:jc w:val="center"/>
        <w:rPr>
          <w:rFonts w:hint="eastAsia" w:cs="宋体"/>
          <w:bCs/>
          <w:color w:val="000000"/>
          <w:sz w:val="44"/>
          <w:szCs w:val="44"/>
        </w:rPr>
      </w:pPr>
    </w:p>
    <w:p w14:paraId="204A2312">
      <w:pPr>
        <w:snapToGrid w:val="0"/>
        <w:spacing w:line="580" w:lineRule="exact"/>
        <w:jc w:val="center"/>
        <w:rPr>
          <w:rFonts w:hint="eastAsia" w:ascii="黑体" w:eastAsia="黑体" w:cs="仿宋_GB2312"/>
          <w:bCs/>
          <w:color w:val="000000"/>
        </w:rPr>
      </w:pPr>
      <w:r>
        <w:rPr>
          <w:rFonts w:hint="eastAsia" w:ascii="黑体" w:eastAsia="黑体" w:cs="仿宋_GB2312"/>
          <w:bCs/>
          <w:color w:val="000000"/>
        </w:rPr>
        <w:t>第一章 总则</w:t>
      </w:r>
    </w:p>
    <w:p w14:paraId="57303F1B">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 xml:space="preserve">第一条 </w:t>
      </w:r>
      <w:r>
        <w:rPr>
          <w:rFonts w:hint="eastAsia" w:ascii="仿宋_GB2312" w:hAnsi="仿宋_GB2312" w:cs="仿宋_GB2312"/>
          <w:bCs/>
          <w:color w:val="000000"/>
        </w:rPr>
        <w:t>为贯彻落实碳达峰、碳中和战略部署，加快建立有利于促进绿色能源生产消费的市场体系和长效机制，推进北京市新能源发电企业参与电力中长期交易（以下简称中长期交易）工作有序开展，按照国家发展改革委、国家能源局《关于深化新能源上网电价市场化改革促进新能源高质量发展的通知》（发改价格〔2025〕136号）等文件要求，制定本细则。</w:t>
      </w:r>
    </w:p>
    <w:p w14:paraId="70F1D947">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第二条</w:t>
      </w:r>
      <w:r>
        <w:rPr>
          <w:rFonts w:hint="eastAsia" w:ascii="黑体" w:eastAsia="黑体" w:cs="仿宋_GB2312"/>
          <w:bCs/>
          <w:color w:val="000000"/>
        </w:rPr>
        <w:t xml:space="preserve"> </w:t>
      </w:r>
      <w:bookmarkStart w:id="1" w:name="_Hlk242351366"/>
      <w:r>
        <w:rPr>
          <w:rFonts w:hint="eastAsia" w:ascii="仿宋_GB2312" w:hAnsi="仿宋_GB2312" w:cs="仿宋_GB2312"/>
          <w:bCs/>
          <w:color w:val="000000"/>
        </w:rPr>
        <w:t>本细则所称中长期交易，指符合条件的经营主体，通过市场化方式，在首都电力交易中心交易平台（以下简称交易平台）上，开展的年度（多年）、月度、月内等电力批发交易</w:t>
      </w:r>
      <w:bookmarkEnd w:id="1"/>
      <w:r>
        <w:rPr>
          <w:rFonts w:hint="eastAsia" w:ascii="仿宋_GB2312" w:hAnsi="仿宋_GB2312" w:cs="仿宋_GB2312"/>
          <w:bCs/>
          <w:color w:val="000000"/>
        </w:rPr>
        <w:t>。</w:t>
      </w:r>
    </w:p>
    <w:p w14:paraId="09297D45">
      <w:pPr>
        <w:snapToGrid w:val="0"/>
        <w:spacing w:line="580" w:lineRule="exact"/>
        <w:jc w:val="center"/>
        <w:rPr>
          <w:rFonts w:hint="eastAsia" w:ascii="黑体" w:eastAsia="黑体" w:cs="仿宋_GB2312"/>
          <w:bCs/>
          <w:color w:val="000000"/>
        </w:rPr>
      </w:pPr>
    </w:p>
    <w:p w14:paraId="17B778F1">
      <w:pPr>
        <w:snapToGrid w:val="0"/>
        <w:spacing w:line="580" w:lineRule="exact"/>
        <w:jc w:val="center"/>
        <w:rPr>
          <w:rFonts w:hint="eastAsia" w:ascii="黑体" w:eastAsia="黑体" w:cs="仿宋_GB2312"/>
          <w:bCs/>
          <w:color w:val="000000"/>
        </w:rPr>
      </w:pPr>
      <w:r>
        <w:rPr>
          <w:rFonts w:hint="eastAsia" w:ascii="黑体" w:eastAsia="黑体" w:cs="仿宋_GB2312"/>
          <w:bCs/>
          <w:color w:val="000000"/>
        </w:rPr>
        <w:t>第二章 适用对象</w:t>
      </w:r>
    </w:p>
    <w:p w14:paraId="74A763DB">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第三条</w:t>
      </w:r>
      <w:r>
        <w:rPr>
          <w:rFonts w:hint="eastAsia" w:ascii="黑体" w:eastAsia="黑体" w:cs="仿宋_GB2312"/>
          <w:bCs/>
          <w:color w:val="000000"/>
        </w:rPr>
        <w:t xml:space="preserve"> </w:t>
      </w:r>
      <w:r>
        <w:rPr>
          <w:rFonts w:hint="eastAsia" w:ascii="仿宋_GB2312" w:hAnsi="仿宋_GB2312" w:cs="仿宋_GB2312"/>
          <w:bCs/>
          <w:color w:val="000000"/>
        </w:rPr>
        <w:t>本细则适用对象为北京市区域内新能源项目（集中式光伏项目、集中式风电项目、分布式光伏发电项目、分散式风电项目），新能源项目上网电量原则上全部进入电力市场，上网电价通过市场交易形成。</w:t>
      </w:r>
    </w:p>
    <w:p w14:paraId="54AEAC23">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 xml:space="preserve">第四条 </w:t>
      </w:r>
      <w:r>
        <w:rPr>
          <w:rFonts w:hint="eastAsia" w:ascii="仿宋_GB2312" w:hAnsi="仿宋_GB2312" w:cs="仿宋_GB2312"/>
          <w:bCs/>
          <w:color w:val="000000"/>
        </w:rPr>
        <w:t>新能源项目可报量报价参与交易，也可接受市场形成的价格，已直接参与交易的新能源项目不得退出直接电力交易市场。</w:t>
      </w:r>
    </w:p>
    <w:p w14:paraId="4C0EA3FD">
      <w:pPr>
        <w:snapToGrid w:val="0"/>
        <w:spacing w:line="580" w:lineRule="exact"/>
        <w:jc w:val="center"/>
        <w:rPr>
          <w:rFonts w:hint="eastAsia" w:ascii="黑体" w:eastAsia="黑体" w:cs="仿宋_GB2312"/>
          <w:bCs/>
          <w:color w:val="000000"/>
        </w:rPr>
      </w:pPr>
    </w:p>
    <w:p w14:paraId="68B6029D">
      <w:pPr>
        <w:snapToGrid w:val="0"/>
        <w:spacing w:line="580" w:lineRule="exact"/>
        <w:jc w:val="center"/>
        <w:rPr>
          <w:rFonts w:hint="eastAsia" w:ascii="黑体" w:eastAsia="黑体" w:cs="仿宋_GB2312"/>
          <w:bCs/>
          <w:color w:val="000000"/>
        </w:rPr>
      </w:pPr>
      <w:r>
        <w:rPr>
          <w:rFonts w:hint="eastAsia" w:ascii="黑体" w:eastAsia="黑体" w:cs="仿宋_GB2312"/>
          <w:bCs/>
          <w:color w:val="000000"/>
        </w:rPr>
        <w:t>第三章 基本条件与注册条件</w:t>
      </w:r>
    </w:p>
    <w:p w14:paraId="298F3BD8">
      <w:pPr>
        <w:snapToGrid w:val="0"/>
        <w:spacing w:line="580" w:lineRule="exact"/>
        <w:jc w:val="center"/>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第一节 基本条件</w:t>
      </w:r>
    </w:p>
    <w:p w14:paraId="76F79C24">
      <w:pPr>
        <w:snapToGrid w:val="0"/>
        <w:spacing w:line="580" w:lineRule="exact"/>
        <w:ind w:firstLine="643" w:firstLineChars="200"/>
        <w:outlineLvl w:val="1"/>
        <w:rPr>
          <w:rFonts w:hint="eastAsia" w:ascii="仿宋_GB2312" w:hAnsi="仿宋_GB2312" w:cs="仿宋_GB2312"/>
          <w:bCs/>
          <w:color w:val="000000"/>
        </w:rPr>
      </w:pPr>
      <w:r>
        <w:rPr>
          <w:rFonts w:hint="eastAsia" w:ascii="仿宋_GB2312" w:hAnsi="仿宋_GB2312" w:cs="仿宋_GB2312"/>
          <w:b/>
          <w:color w:val="000000"/>
        </w:rPr>
        <w:t>第五条</w:t>
      </w:r>
      <w:r>
        <w:rPr>
          <w:rFonts w:hint="eastAsia" w:ascii="仿宋_GB2312" w:hAnsi="仿宋_GB2312" w:cs="仿宋_GB2312"/>
          <w:bCs/>
          <w:color w:val="000000"/>
        </w:rPr>
        <w:t xml:space="preserve"> 新能源发电企业应当是财务独立核算、能够独立承担民事责任的企业，经法人单位授权的内部核算主体。新能源发电企业参与北京市电力市场化交易，应当符合基本条件。基本条件如下：</w:t>
      </w:r>
    </w:p>
    <w:p w14:paraId="142E06A5">
      <w:pPr>
        <w:snapToGrid w:val="0"/>
        <w:spacing w:line="580" w:lineRule="exact"/>
        <w:ind w:firstLine="640" w:firstLineChars="200"/>
        <w:outlineLvl w:val="1"/>
        <w:rPr>
          <w:rFonts w:hint="eastAsia" w:ascii="仿宋_GB2312" w:hAnsi="仿宋_GB2312" w:cs="仿宋_GB2312"/>
          <w:bCs/>
          <w:color w:val="000000"/>
        </w:rPr>
      </w:pPr>
      <w:r>
        <w:rPr>
          <w:rFonts w:hint="eastAsia" w:ascii="仿宋_GB2312" w:hAnsi="仿宋_GB2312" w:cs="仿宋_GB2312"/>
          <w:bCs/>
          <w:color w:val="000000"/>
        </w:rPr>
        <w:t>1.依法取得发电项目核准或者备案文件，依法取得、按规定时限正在办理或者豁免电力业务许可证（发电类）；</w:t>
      </w:r>
    </w:p>
    <w:p w14:paraId="44C19B44">
      <w:pPr>
        <w:snapToGrid w:val="0"/>
        <w:spacing w:line="580" w:lineRule="exact"/>
        <w:ind w:firstLine="640" w:firstLineChars="200"/>
        <w:outlineLvl w:val="1"/>
        <w:rPr>
          <w:rFonts w:hint="eastAsia" w:ascii="仿宋_GB2312" w:hAnsi="仿宋_GB2312" w:cs="仿宋_GB2312"/>
          <w:bCs/>
          <w:color w:val="000000"/>
        </w:rPr>
      </w:pPr>
      <w:r>
        <w:rPr>
          <w:rFonts w:hint="eastAsia" w:ascii="仿宋_GB2312" w:hAnsi="仿宋_GB2312" w:cs="仿宋_GB2312"/>
          <w:bCs/>
          <w:color w:val="000000"/>
        </w:rPr>
        <w:t>2.已与电网企业签订并网调度协议，接入电力调度自动化系统；</w:t>
      </w:r>
    </w:p>
    <w:p w14:paraId="526E69CD">
      <w:pPr>
        <w:snapToGrid w:val="0"/>
        <w:spacing w:line="580" w:lineRule="exact"/>
        <w:ind w:firstLine="640" w:firstLineChars="200"/>
        <w:outlineLvl w:val="1"/>
        <w:rPr>
          <w:rFonts w:hint="eastAsia" w:ascii="仿宋_GB2312" w:hAnsi="仿宋_GB2312" w:cs="仿宋_GB2312"/>
          <w:bCs/>
          <w:color w:val="000000"/>
        </w:rPr>
      </w:pPr>
      <w:r>
        <w:rPr>
          <w:rFonts w:hint="eastAsia" w:ascii="仿宋_GB2312" w:hAnsi="仿宋_GB2312" w:cs="仿宋_GB2312"/>
          <w:bCs/>
          <w:color w:val="000000"/>
        </w:rPr>
        <w:t>3.具备相应的计量能力或者替代技术手段，满足电力市场计量和结算的要求。</w:t>
      </w:r>
    </w:p>
    <w:p w14:paraId="70DDBF1A">
      <w:pPr>
        <w:snapToGrid w:val="0"/>
        <w:spacing w:line="580" w:lineRule="exact"/>
        <w:jc w:val="center"/>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第二节 注册条件</w:t>
      </w:r>
    </w:p>
    <w:p w14:paraId="05F93C4A">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第六条</w:t>
      </w:r>
      <w:r>
        <w:rPr>
          <w:rFonts w:hint="eastAsia" w:ascii="仿宋_GB2312" w:hAnsi="仿宋_GB2312" w:cs="仿宋_GB2312"/>
          <w:bCs/>
          <w:color w:val="000000"/>
        </w:rPr>
        <w:t xml:space="preserve"> 新能源发电企业在首都电力交易中心办理市场注册，应当符合国家能源局《关于印发〈电力市场注册基本规则〉的通知》（国能发监管规〔2024〕76号）要求，按照申请、承诺、审查、公示、生效的流程办理，对注册业务信息以及相关支撑性材料的真实性、准确性、完整性负责。</w:t>
      </w:r>
    </w:p>
    <w:p w14:paraId="458A8F77">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第七条</w:t>
      </w:r>
      <w:r>
        <w:rPr>
          <w:rFonts w:hint="eastAsia" w:ascii="仿宋_GB2312" w:hAnsi="仿宋_GB2312" w:cs="仿宋_GB2312"/>
          <w:bCs/>
          <w:color w:val="000000"/>
          <w:spacing w:val="6"/>
        </w:rPr>
        <w:t xml:space="preserve"> </w:t>
      </w:r>
      <w:r>
        <w:rPr>
          <w:rFonts w:hint="eastAsia" w:ascii="仿宋_GB2312" w:hAnsi="仿宋_GB2312" w:cs="仿宋_GB2312"/>
          <w:bCs/>
          <w:color w:val="000000"/>
        </w:rPr>
        <w:t>分布式光伏发电项目、分散式风电项目按本市相关要求适时开展注册。</w:t>
      </w:r>
    </w:p>
    <w:p w14:paraId="6FAEA4FD">
      <w:pPr>
        <w:snapToGrid w:val="0"/>
        <w:spacing w:line="580" w:lineRule="exact"/>
        <w:jc w:val="center"/>
        <w:rPr>
          <w:rFonts w:hint="eastAsia" w:ascii="黑体" w:eastAsia="黑体" w:cs="仿宋_GB2312"/>
          <w:bCs/>
          <w:color w:val="000000"/>
        </w:rPr>
      </w:pPr>
    </w:p>
    <w:p w14:paraId="19FC792B">
      <w:pPr>
        <w:snapToGrid w:val="0"/>
        <w:spacing w:line="580" w:lineRule="exact"/>
        <w:jc w:val="center"/>
        <w:rPr>
          <w:rFonts w:hint="eastAsia" w:ascii="黑体" w:eastAsia="黑体" w:cs="仿宋_GB2312"/>
          <w:bCs/>
          <w:color w:val="000000"/>
        </w:rPr>
      </w:pPr>
      <w:r>
        <w:rPr>
          <w:rFonts w:hint="eastAsia" w:ascii="黑体" w:eastAsia="黑体" w:cs="仿宋_GB2312"/>
          <w:bCs/>
          <w:color w:val="000000"/>
        </w:rPr>
        <w:t>第四章 交易方式</w:t>
      </w:r>
    </w:p>
    <w:p w14:paraId="05C138D2">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 xml:space="preserve">第八条 </w:t>
      </w:r>
      <w:r>
        <w:rPr>
          <w:rFonts w:hint="eastAsia" w:ascii="仿宋_GB2312" w:hAnsi="仿宋_GB2312" w:cs="仿宋_GB2312"/>
          <w:bCs/>
          <w:color w:val="000000"/>
        </w:rPr>
        <w:t>集中式新能源发电企业（集中式光伏项目、集中式风电项目）自行选择参与绿色电力市场化交易或者选择参加电能量中长期交易。集中式新能源发电企业参与绿色电力交易时，交易方式为双边协商、挂牌交易等，北京市绿色电力交易不单独组织集中竞价和滚动撮合交易；集中式新能源发电企业参与电能量中长期交易时，交易方式按照《北京市2027年电力市场化交易方案》执行。鼓励发用双方签订多年期购电协议，形成稳定供求关系。</w:t>
      </w:r>
    </w:p>
    <w:p w14:paraId="60AD8DBB">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第九条</w:t>
      </w:r>
      <w:r>
        <w:rPr>
          <w:rFonts w:hint="eastAsia" w:ascii="仿宋_GB2312" w:hAnsi="仿宋_GB2312" w:cs="仿宋_GB2312"/>
          <w:bCs/>
          <w:color w:val="000000"/>
        </w:rPr>
        <w:t xml:space="preserve"> 综合考虑分布式新能源发电项目（分布式光伏发电项目、分散式风电项目）数量多、电量规模小，2027年分布式新能源发电项目暂时作为价格接受者，通过国网北京市电力公司代理购电参与电力市场。</w:t>
      </w:r>
    </w:p>
    <w:p w14:paraId="7D2316AC">
      <w:pPr>
        <w:snapToGrid w:val="0"/>
        <w:spacing w:line="580" w:lineRule="exact"/>
        <w:jc w:val="center"/>
        <w:rPr>
          <w:rFonts w:hint="eastAsia" w:ascii="黑体" w:eastAsia="黑体" w:cs="仿宋_GB2312"/>
          <w:bCs/>
          <w:color w:val="000000"/>
        </w:rPr>
      </w:pPr>
    </w:p>
    <w:p w14:paraId="4629B939">
      <w:pPr>
        <w:snapToGrid w:val="0"/>
        <w:spacing w:line="580" w:lineRule="exact"/>
        <w:jc w:val="center"/>
        <w:rPr>
          <w:rFonts w:hint="eastAsia" w:ascii="黑体" w:eastAsia="黑体" w:cs="仿宋_GB2312"/>
          <w:bCs/>
          <w:color w:val="000000"/>
        </w:rPr>
      </w:pPr>
      <w:r>
        <w:rPr>
          <w:rFonts w:hint="eastAsia" w:ascii="黑体" w:eastAsia="黑体" w:cs="仿宋_GB2312"/>
          <w:bCs/>
          <w:color w:val="000000"/>
        </w:rPr>
        <w:t>第五章 价格机制</w:t>
      </w:r>
    </w:p>
    <w:p w14:paraId="49B3998C">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第十条</w:t>
      </w:r>
      <w:r>
        <w:rPr>
          <w:rFonts w:hint="eastAsia" w:ascii="仿宋_GB2312" w:hAnsi="仿宋_GB2312" w:cs="仿宋_GB2312"/>
          <w:bCs/>
          <w:color w:val="000000"/>
        </w:rPr>
        <w:t xml:space="preserve"> 新能源发电企业交易价格由市场化机制形成，在参与电力市场交易后，在电力市场外建立差价结算的可持续发展价格结算机制（简称机制电价）。对纳入机制的电量，国网北京市电力公司每月按机制电价开展差价结算，将市场交易均价与机制电价的差额纳入本市系统运行费用。</w:t>
      </w:r>
    </w:p>
    <w:p w14:paraId="0A166189">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第十一条</w:t>
      </w:r>
      <w:r>
        <w:rPr>
          <w:rFonts w:hint="eastAsia" w:ascii="仿宋_GB2312" w:cs="仿宋_GB2312"/>
          <w:bCs/>
          <w:color w:val="000000"/>
        </w:rPr>
        <w:t xml:space="preserve"> </w:t>
      </w:r>
      <w:r>
        <w:rPr>
          <w:rFonts w:hint="eastAsia" w:ascii="仿宋_GB2312" w:hAnsi="仿宋_GB2312" w:cs="仿宋_GB2312"/>
          <w:bCs/>
          <w:color w:val="000000"/>
        </w:rPr>
        <w:t>市场交易均价为北京市新能源发电企业同类项目的最近一月所有交易（包括绿色电力交易、年度分月电能量中</w:t>
      </w:r>
      <w:r>
        <w:rPr>
          <w:rFonts w:hint="eastAsia" w:ascii="仿宋_GB2312" w:hAnsi="仿宋_GB2312" w:cs="仿宋_GB2312"/>
          <w:bCs/>
          <w:color w:val="000000"/>
          <w:spacing w:val="6"/>
        </w:rPr>
        <w:t>长期交易、月度与月内电能量中长期交易）电能量加权平均价格。</w:t>
      </w:r>
    </w:p>
    <w:p w14:paraId="17A877CC">
      <w:pPr>
        <w:spacing w:line="580" w:lineRule="exact"/>
        <w:ind w:firstLine="643" w:firstLineChars="200"/>
        <w:rPr>
          <w:rFonts w:hint="eastAsia"/>
          <w:bCs/>
          <w:color w:val="000000"/>
        </w:rPr>
      </w:pPr>
      <w:r>
        <w:rPr>
          <w:rFonts w:hint="eastAsia" w:ascii="仿宋_GB2312" w:hAnsi="仿宋_GB2312" w:cs="仿宋_GB2312"/>
          <w:b/>
          <w:color w:val="000000"/>
        </w:rPr>
        <w:t xml:space="preserve">第十二条 </w:t>
      </w:r>
      <w:r>
        <w:rPr>
          <w:rFonts w:hint="eastAsia" w:ascii="仿宋_GB2312" w:hAnsi="仿宋_GB2312" w:cs="仿宋_GB2312"/>
          <w:bCs/>
          <w:color w:val="000000"/>
        </w:rPr>
        <w:t>新能源发电企业参与电网代理购电时，以报量不报价方式，作为价格接受者参与市场。</w:t>
      </w:r>
    </w:p>
    <w:p w14:paraId="35089B56">
      <w:pPr>
        <w:snapToGrid w:val="0"/>
        <w:spacing w:line="580" w:lineRule="exact"/>
        <w:jc w:val="center"/>
        <w:rPr>
          <w:rFonts w:hint="eastAsia" w:ascii="黑体" w:eastAsia="黑体" w:cs="仿宋_GB2312"/>
          <w:bCs/>
          <w:color w:val="000000"/>
        </w:rPr>
      </w:pPr>
    </w:p>
    <w:p w14:paraId="263BFDFF">
      <w:pPr>
        <w:snapToGrid w:val="0"/>
        <w:spacing w:line="580" w:lineRule="exact"/>
        <w:jc w:val="center"/>
        <w:rPr>
          <w:rFonts w:hint="eastAsia" w:ascii="黑体" w:eastAsia="黑体" w:cs="仿宋_GB2312"/>
          <w:bCs/>
          <w:color w:val="000000"/>
        </w:rPr>
      </w:pPr>
      <w:r>
        <w:rPr>
          <w:rFonts w:hint="eastAsia" w:ascii="黑体" w:eastAsia="黑体" w:cs="仿宋_GB2312"/>
          <w:bCs/>
          <w:color w:val="000000"/>
        </w:rPr>
        <w:t>第六章 交易组织与安排</w:t>
      </w:r>
    </w:p>
    <w:p w14:paraId="668BEB9D">
      <w:pPr>
        <w:snapToGrid w:val="0"/>
        <w:spacing w:line="580" w:lineRule="exact"/>
        <w:jc w:val="center"/>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第一节 交易组织</w:t>
      </w:r>
    </w:p>
    <w:p w14:paraId="20DAC6EB">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第十三条</w:t>
      </w:r>
      <w:r>
        <w:rPr>
          <w:rFonts w:hint="eastAsia" w:ascii="仿宋_GB2312" w:hAnsi="仿宋_GB2312" w:cs="仿宋_GB2312"/>
          <w:bCs/>
          <w:color w:val="000000"/>
        </w:rPr>
        <w:t xml:space="preserve"> 新能源发电企业参与市场化交易工作由国网华北分部（京交二部）、首都电力交易中心共同组织开展。</w:t>
      </w:r>
    </w:p>
    <w:p w14:paraId="040DF9E5">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第十四条</w:t>
      </w:r>
      <w:r>
        <w:rPr>
          <w:rFonts w:hint="eastAsia" w:ascii="黑体" w:eastAsia="黑体" w:cs="仿宋_GB2312"/>
          <w:bCs/>
          <w:color w:val="000000"/>
        </w:rPr>
        <w:t xml:space="preserve"> </w:t>
      </w:r>
      <w:r>
        <w:rPr>
          <w:rFonts w:hint="eastAsia" w:ascii="仿宋_GB2312" w:hAnsi="仿宋_GB2312" w:cs="仿宋_GB2312"/>
          <w:bCs/>
          <w:color w:val="000000"/>
        </w:rPr>
        <w:t>首都电力交易中心根据新能源发电企业的交易意向，以年、月（多月）、月内等为周期常态化组织开展交易。原则上按直接交易、电网企业代理购电交易顺序组织实施。</w:t>
      </w:r>
    </w:p>
    <w:p w14:paraId="27387579">
      <w:pPr>
        <w:snapToGrid w:val="0"/>
        <w:spacing w:line="580" w:lineRule="exact"/>
        <w:jc w:val="center"/>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第二节 交易申报</w:t>
      </w:r>
    </w:p>
    <w:p w14:paraId="3BFF6E09">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第十五条</w:t>
      </w:r>
      <w:r>
        <w:rPr>
          <w:rFonts w:hint="eastAsia" w:ascii="仿宋_GB2312" w:hAnsi="仿宋_GB2312" w:cs="仿宋_GB2312"/>
          <w:bCs/>
          <w:color w:val="000000"/>
        </w:rPr>
        <w:t xml:space="preserve"> 新能源发电企业参与本市绿色电力及电能量中长期交易时，申报方式参照《北京市2027年电力市场化交易方案》执行。新能源发电企业申报全时段电量参与交易，分月电量不得超过其月度实际最大可发电能力。</w:t>
      </w:r>
    </w:p>
    <w:p w14:paraId="512D2942">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第十六条</w:t>
      </w:r>
      <w:r>
        <w:rPr>
          <w:rFonts w:hint="eastAsia" w:ascii="仿宋_GB2312" w:hAnsi="仿宋_GB2312" w:cs="仿宋_GB2312"/>
          <w:bCs/>
          <w:color w:val="000000"/>
        </w:rPr>
        <w:t xml:space="preserve"> 北京市新能源发电企业参与绿色电力交易时，申报和成交价格应分别明确电能量价格和相应绿色电力证书（以下简称绿证）价格；参与电能量中长期交易时，申报和成交价格应明确电能量价格，不作为绿色电力交易，仅对电能量价格进行结算。</w:t>
      </w:r>
    </w:p>
    <w:p w14:paraId="4C94A896">
      <w:pPr>
        <w:snapToGrid w:val="0"/>
        <w:spacing w:line="580" w:lineRule="exact"/>
        <w:jc w:val="center"/>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第三节 交易流程</w:t>
      </w:r>
    </w:p>
    <w:p w14:paraId="7E1453A3">
      <w:pPr>
        <w:snapToGrid w:val="0"/>
        <w:spacing w:line="580" w:lineRule="exact"/>
        <w:ind w:firstLine="643" w:firstLineChars="200"/>
        <w:jc w:val="distribute"/>
        <w:outlineLvl w:val="2"/>
        <w:rPr>
          <w:rFonts w:hint="eastAsia" w:ascii="仿宋_GB2312" w:hAnsi="仿宋_GB2312" w:cs="仿宋_GB2312"/>
          <w:bCs/>
          <w:color w:val="000000"/>
        </w:rPr>
      </w:pPr>
      <w:r>
        <w:rPr>
          <w:rFonts w:hint="eastAsia" w:ascii="仿宋_GB2312" w:hAnsi="仿宋_GB2312" w:cs="仿宋_GB2312"/>
          <w:b/>
          <w:color w:val="000000"/>
        </w:rPr>
        <w:t xml:space="preserve">第十七条 </w:t>
      </w:r>
      <w:r>
        <w:rPr>
          <w:rFonts w:hint="eastAsia" w:ascii="仿宋_GB2312" w:hAnsi="仿宋_GB2312" w:cs="仿宋_GB2312"/>
          <w:bCs/>
          <w:color w:val="000000"/>
        </w:rPr>
        <w:t>国网华北分部（京交二部）、首都电力交易中心在交易平台发布交易公告。经营主体按时间规定申报和确认电</w:t>
      </w:r>
      <w:r>
        <w:rPr>
          <w:rFonts w:hint="eastAsia" w:ascii="仿宋_GB2312" w:hAnsi="仿宋_GB2312" w:cs="仿宋_GB2312"/>
          <w:bCs/>
          <w:color w:val="000000"/>
          <w:spacing w:val="-6"/>
        </w:rPr>
        <w:t>量（电力）、电价等信息，交易平台出清形成无约束交易结果。</w:t>
      </w:r>
    </w:p>
    <w:p w14:paraId="6CD9898D">
      <w:pPr>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第十八条</w:t>
      </w:r>
      <w:r>
        <w:rPr>
          <w:rFonts w:hint="eastAsia" w:ascii="仿宋_GB2312" w:hAnsi="仿宋_GB2312" w:cs="仿宋_GB2312"/>
          <w:bCs/>
          <w:color w:val="000000"/>
        </w:rPr>
        <w:t xml:space="preserve"> 国网华北分部（京交二部）汇总预成交结果并推送国网华北电力调控中心，由国网华北电力调控中心组织国网北京市电力调控中心开展安全校核，国网华北电力调控中心将安全校核意见反馈国网华北分部（京交二部）。</w:t>
      </w:r>
    </w:p>
    <w:p w14:paraId="707ED171">
      <w:pPr>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 xml:space="preserve">第十九条 </w:t>
      </w:r>
      <w:r>
        <w:rPr>
          <w:rFonts w:hint="eastAsia" w:ascii="仿宋_GB2312" w:hAnsi="仿宋_GB2312" w:cs="仿宋_GB2312"/>
          <w:bCs/>
          <w:color w:val="000000"/>
        </w:rPr>
        <w:t>首都电力交易中心根据已达成的交易合同及可用发电能力，形成各发电机组交易申报限额，并根据市场交易情况及时调整。发电机组交易申报限额按华北能源监管局现行文件执行。国网华北分部（京交二部）、首都电力交易中心根据安全校核意见进行出清，形成成交结果并发布。</w:t>
      </w:r>
    </w:p>
    <w:p w14:paraId="4C35D98E">
      <w:pPr>
        <w:snapToGrid w:val="0"/>
        <w:spacing w:line="580" w:lineRule="exact"/>
        <w:jc w:val="center"/>
        <w:rPr>
          <w:rFonts w:hint="eastAsia" w:ascii="黑体" w:eastAsia="黑体" w:cs="仿宋_GB2312"/>
          <w:bCs/>
          <w:color w:val="000000"/>
        </w:rPr>
      </w:pPr>
    </w:p>
    <w:p w14:paraId="48E80004">
      <w:pPr>
        <w:snapToGrid w:val="0"/>
        <w:spacing w:line="580" w:lineRule="exact"/>
        <w:jc w:val="center"/>
        <w:rPr>
          <w:rFonts w:hint="eastAsia" w:ascii="黑体" w:eastAsia="黑体" w:cs="仿宋_GB2312"/>
          <w:bCs/>
          <w:color w:val="000000"/>
        </w:rPr>
      </w:pPr>
      <w:r>
        <w:rPr>
          <w:rFonts w:hint="eastAsia" w:ascii="黑体" w:eastAsia="黑体" w:cs="仿宋_GB2312"/>
          <w:bCs/>
          <w:color w:val="000000"/>
        </w:rPr>
        <w:t>第七章 交易结算</w:t>
      </w:r>
    </w:p>
    <w:p w14:paraId="075574B8">
      <w:pPr>
        <w:snapToGrid w:val="0"/>
        <w:spacing w:line="580" w:lineRule="exact"/>
        <w:jc w:val="center"/>
        <w:rPr>
          <w:rFonts w:hint="eastAsia" w:ascii="楷体_GB2312" w:hAnsi="楷体_GB2312" w:eastAsia="楷体_GB2312" w:cs="楷体_GB2312"/>
          <w:bCs/>
          <w:color w:val="000000"/>
        </w:rPr>
      </w:pPr>
      <w:r>
        <w:rPr>
          <w:rFonts w:hint="eastAsia" w:ascii="楷体_GB2312" w:hAnsi="楷体_GB2312" w:eastAsia="楷体_GB2312" w:cs="楷体_GB2312"/>
          <w:bCs/>
          <w:color w:val="000000"/>
        </w:rPr>
        <w:t>第一节 电能量结算</w:t>
      </w:r>
    </w:p>
    <w:p w14:paraId="746B7375">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第二十条</w:t>
      </w:r>
      <w:r>
        <w:rPr>
          <w:rFonts w:hint="eastAsia" w:ascii="仿宋_GB2312" w:hAnsi="仿宋_GB2312" w:cs="仿宋_GB2312"/>
          <w:bCs/>
          <w:color w:val="000000"/>
        </w:rPr>
        <w:t xml:space="preserve"> 2027年北京地区电力市场化交易结算方式按照华北能源监管局现行政策文件执行。北京市新能源发电企业合同电量和偏差电量分开结算，合同电量按合同价格结算，偏差电量按照偏差价格结算。</w:t>
      </w:r>
    </w:p>
    <w:p w14:paraId="59394DAF">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 xml:space="preserve">第二十一条 </w:t>
      </w:r>
      <w:r>
        <w:rPr>
          <w:rFonts w:hint="eastAsia" w:ascii="仿宋_GB2312" w:hAnsi="仿宋_GB2312" w:cs="仿宋_GB2312"/>
          <w:bCs/>
          <w:color w:val="000000"/>
        </w:rPr>
        <w:t>北京市新能源发电企业实际上网发电量与各类交易合同（购售合同）总电量的差值部分为偏差电量。C</w:t>
      </w:r>
      <w:r>
        <w:rPr>
          <w:rFonts w:hint="eastAsia" w:ascii="仿宋_GB2312" w:hAnsi="仿宋_GB2312" w:cs="仿宋_GB2312"/>
          <w:bCs/>
          <w:color w:val="000000"/>
          <w:vertAlign w:val="subscript"/>
        </w:rPr>
        <w:t>1</w:t>
      </w:r>
      <w:r>
        <w:rPr>
          <w:rFonts w:hint="eastAsia" w:ascii="仿宋_GB2312" w:hAnsi="仿宋_GB2312" w:cs="仿宋_GB2312"/>
          <w:bCs/>
          <w:color w:val="000000"/>
        </w:rPr>
        <w:t>、C</w:t>
      </w:r>
      <w:r>
        <w:rPr>
          <w:rFonts w:hint="eastAsia" w:ascii="仿宋_GB2312" w:hAnsi="仿宋_GB2312" w:cs="仿宋_GB2312"/>
          <w:bCs/>
          <w:color w:val="000000"/>
          <w:vertAlign w:val="subscript"/>
        </w:rPr>
        <w:t>2</w:t>
      </w:r>
      <w:r>
        <w:rPr>
          <w:rFonts w:hint="eastAsia" w:ascii="仿宋_GB2312" w:hAnsi="仿宋_GB2312" w:cs="仿宋_GB2312"/>
          <w:bCs/>
          <w:color w:val="000000"/>
        </w:rPr>
        <w:t>分别为发电侧偏差电量超发、少发调节系数。</w:t>
      </w:r>
    </w:p>
    <w:p w14:paraId="066607EC">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2027年偏差结算按照以下方式执行：</w:t>
      </w:r>
    </w:p>
    <w:p w14:paraId="134A97F1">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新能源企业超发偏差电量的偏差结算电价，按照min{北京市燃煤发电基准价，燃煤火电月度偏差电量结算价格，本新能源企业本月各笔交易合同电能量价格最小值}*C</w:t>
      </w:r>
      <w:r>
        <w:rPr>
          <w:rFonts w:hint="eastAsia" w:ascii="仿宋_GB2312" w:hAnsi="仿宋_GB2312" w:cs="仿宋_GB2312"/>
          <w:bCs/>
          <w:color w:val="000000"/>
          <w:vertAlign w:val="subscript"/>
        </w:rPr>
        <w:t>1</w:t>
      </w:r>
      <w:r>
        <w:rPr>
          <w:rFonts w:hint="eastAsia" w:ascii="仿宋_GB2312" w:hAnsi="仿宋_GB2312" w:cs="仿宋_GB2312"/>
          <w:bCs/>
          <w:color w:val="000000"/>
        </w:rPr>
        <w:t>结算。偏差电量在[0, 15%]的部分，C1=1；偏差电量在（15%, 25%]的部分，C1=0.9；偏差电量在（25%, 35%]的部分，C1=0.8；偏差电量在（35%, +∞]的部分，C1=0.5。</w:t>
      </w:r>
    </w:p>
    <w:p w14:paraId="2FB3BCA9">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新能源企业少发偏差电量的偏差结算电价，按照max{北京市燃煤发电基准价，燃煤火电月度偏差电量结算价格，本新能源企业本月各笔交易合同电能量价格最大值}*C2结算。偏差电量在[−15%, 0]的部分，C2=1；偏差电量在[−100%, −15%)的部分，C2=1.2。</w:t>
      </w:r>
    </w:p>
    <w:p w14:paraId="1D597D82">
      <w:pPr>
        <w:snapToGrid w:val="0"/>
        <w:spacing w:line="580" w:lineRule="exact"/>
        <w:ind w:firstLine="640" w:firstLineChars="200"/>
        <w:rPr>
          <w:rFonts w:hint="eastAsia" w:ascii="仿宋_GB2312" w:hAnsi="仿宋_GB2312" w:cs="仿宋_GB2312"/>
          <w:bCs/>
          <w:color w:val="000000"/>
        </w:rPr>
      </w:pPr>
      <w:r>
        <w:rPr>
          <w:rFonts w:hint="eastAsia" w:ascii="仿宋_GB2312" w:hAnsi="仿宋_GB2312" w:cs="仿宋_GB2312"/>
          <w:bCs/>
          <w:color w:val="000000"/>
        </w:rPr>
        <w:t>后期根据北京市场运行情况，适时调整调节系数并向经营主体发布。</w:t>
      </w:r>
    </w:p>
    <w:p w14:paraId="0D309D1A">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第二十二条</w:t>
      </w:r>
      <w:r>
        <w:rPr>
          <w:rFonts w:hint="eastAsia" w:ascii="仿宋_GB2312" w:hAnsi="仿宋_GB2312" w:cs="仿宋_GB2312"/>
          <w:bCs/>
          <w:color w:val="000000"/>
        </w:rPr>
        <w:t xml:space="preserve"> 2027年，北京市新能源发电企业因合同偏差电量结算引起的偏差结算差额资金</w:t>
      </w:r>
      <w:r>
        <w:rPr>
          <w:rFonts w:hint="eastAsia" w:ascii="仿宋_GB2312" w:hAnsi="仿宋_GB2312" w:cs="仿宋_GB2312"/>
          <w:bCs/>
          <w:color w:val="000000"/>
          <w:vertAlign w:val="superscript"/>
        </w:rPr>
        <w:footnoteReference w:id="0"/>
      </w:r>
      <w:r>
        <w:rPr>
          <w:rFonts w:hint="eastAsia" w:ascii="仿宋_GB2312" w:hAnsi="仿宋_GB2312" w:cs="仿宋_GB2312"/>
          <w:bCs/>
          <w:color w:val="000000"/>
        </w:rPr>
        <w:t>，原则上在北京地区全体工商业用户范围内疏导。</w:t>
      </w:r>
    </w:p>
    <w:p w14:paraId="1D079CC1">
      <w:pPr>
        <w:snapToGrid w:val="0"/>
        <w:spacing w:line="580" w:lineRule="exact"/>
        <w:jc w:val="center"/>
        <w:rPr>
          <w:rFonts w:hint="eastAsia" w:ascii="黑体" w:eastAsia="黑体" w:cs="仿宋_GB2312"/>
          <w:bCs/>
          <w:color w:val="000000"/>
        </w:rPr>
      </w:pPr>
      <w:r>
        <w:rPr>
          <w:rFonts w:hint="eastAsia" w:ascii="楷体_GB2312" w:hAnsi="楷体_GB2312" w:eastAsia="楷体_GB2312" w:cs="楷体_GB2312"/>
          <w:bCs/>
          <w:color w:val="000000"/>
        </w:rPr>
        <w:t>第二节 环境权益结算</w:t>
      </w:r>
    </w:p>
    <w:p w14:paraId="48155554">
      <w:pPr>
        <w:snapToGrid w:val="0"/>
        <w:spacing w:line="580" w:lineRule="exact"/>
        <w:ind w:firstLine="643" w:firstLineChars="200"/>
        <w:rPr>
          <w:rFonts w:hint="eastAsia" w:ascii="仿宋_GB2312" w:hAnsi="仿宋_GB2312" w:cs="仿宋_GB2312"/>
          <w:bCs/>
          <w:color w:val="000000"/>
        </w:rPr>
      </w:pPr>
      <w:r>
        <w:rPr>
          <w:rFonts w:hint="eastAsia" w:ascii="仿宋_GB2312" w:hAnsi="仿宋_GB2312" w:cs="仿宋_GB2312"/>
          <w:b/>
          <w:color w:val="000000"/>
        </w:rPr>
        <w:t>第二十三条</w:t>
      </w:r>
      <w:r>
        <w:rPr>
          <w:rFonts w:hint="eastAsia" w:ascii="仿宋_GB2312" w:hAnsi="仿宋_GB2312" w:cs="仿宋_GB2312"/>
          <w:bCs/>
          <w:color w:val="000000"/>
        </w:rPr>
        <w:t xml:space="preserve"> 北京市新能源发电企业参与绿色电力交易的结算方式按照《北京市2027年绿色电力交易方案》执行，国家能源局电力业务资质管理中心为新能源发电企业核发绿证。纳入可持续发展价格结算机制的电量，不重复获得绿证收益。绿色电力交易电量的绿证收益采用当月绿色电力合同电量、新能源发电企业机制外上网电量、电力用户用电量三者取小的原则结算。其中，小时级绿色电力环境权益价值优先结算。</w:t>
      </w:r>
    </w:p>
    <w:p w14:paraId="757760B6">
      <w:pPr>
        <w:snapToGrid w:val="0"/>
        <w:spacing w:line="580" w:lineRule="exact"/>
        <w:ind w:firstLine="643" w:firstLineChars="200"/>
        <w:jc w:val="left"/>
        <w:rPr>
          <w:rFonts w:hint="eastAsia" w:ascii="仿宋_GB2312" w:hAnsi="仿宋_GB2312" w:cs="仿宋_GB2312"/>
          <w:bCs/>
        </w:rPr>
      </w:pPr>
      <w:r>
        <w:rPr>
          <w:rFonts w:hint="eastAsia" w:ascii="仿宋_GB2312" w:hAnsi="仿宋_GB2312" w:cs="仿宋_GB2312"/>
          <w:b/>
        </w:rPr>
        <w:t xml:space="preserve">第二十四条 </w:t>
      </w:r>
      <w:r>
        <w:rPr>
          <w:rFonts w:hint="eastAsia" w:ascii="仿宋_GB2312" w:hAnsi="仿宋_GB2312" w:cs="仿宋_GB2312"/>
          <w:bCs/>
        </w:rPr>
        <w:t>北京市新能源发电企业参与电能量中长期交易时，新能源发电企业相对应的绿证全部划转至北京市级专用绿证账户。</w:t>
      </w:r>
    </w:p>
    <w:p w14:paraId="7FC62737">
      <w:pPr>
        <w:snapToGrid w:val="0"/>
        <w:spacing w:line="580" w:lineRule="exact"/>
        <w:jc w:val="center"/>
        <w:rPr>
          <w:rFonts w:hint="eastAsia" w:ascii="黑体" w:eastAsia="黑体" w:cs="黑体"/>
          <w:bCs/>
        </w:rPr>
      </w:pPr>
    </w:p>
    <w:p w14:paraId="6FDB67FB">
      <w:pPr>
        <w:snapToGrid w:val="0"/>
        <w:spacing w:line="580" w:lineRule="exact"/>
        <w:jc w:val="center"/>
        <w:rPr>
          <w:rFonts w:hint="eastAsia" w:ascii="黑体" w:eastAsia="黑体" w:cs="黑体"/>
          <w:bCs/>
        </w:rPr>
      </w:pPr>
      <w:r>
        <w:rPr>
          <w:rFonts w:hint="eastAsia" w:ascii="黑体" w:eastAsia="黑体" w:cs="黑体"/>
          <w:bCs/>
        </w:rPr>
        <w:t>第八章 相关要求</w:t>
      </w:r>
    </w:p>
    <w:p w14:paraId="4F3103E4">
      <w:pPr>
        <w:snapToGrid w:val="0"/>
        <w:spacing w:line="580" w:lineRule="exact"/>
        <w:ind w:firstLine="643" w:firstLineChars="200"/>
        <w:rPr>
          <w:rFonts w:hint="eastAsia" w:ascii="仿宋_GB2312" w:hAnsi="仿宋_GB2312" w:cs="仿宋_GB2312"/>
          <w:bCs/>
        </w:rPr>
      </w:pPr>
      <w:r>
        <w:rPr>
          <w:rFonts w:hint="eastAsia" w:ascii="仿宋_GB2312" w:hAnsi="仿宋_GB2312" w:cs="仿宋_GB2312"/>
          <w:b/>
        </w:rPr>
        <w:t>第二十五条</w:t>
      </w:r>
      <w:r>
        <w:rPr>
          <w:rFonts w:hint="eastAsia" w:ascii="仿宋_GB2312" w:hAnsi="仿宋_GB2312" w:cs="仿宋_GB2312"/>
          <w:bCs/>
        </w:rPr>
        <w:t xml:space="preserve"> 首都电力交易中心会同国网北京市电力公司做好北京市新能源发电企业合同签订和结算工作，确保北京市新能源发电企业公平参与市场化交易。</w:t>
      </w:r>
    </w:p>
    <w:p w14:paraId="266F1779">
      <w:pPr>
        <w:snapToGrid w:val="0"/>
        <w:spacing w:line="580" w:lineRule="exact"/>
        <w:ind w:firstLine="643" w:firstLineChars="200"/>
        <w:rPr>
          <w:rFonts w:hint="eastAsia" w:ascii="仿宋_GB2312" w:hAnsi="仿宋_GB2312" w:cs="仿宋_GB2312"/>
          <w:bCs/>
        </w:rPr>
      </w:pPr>
      <w:r>
        <w:rPr>
          <w:rFonts w:hint="eastAsia" w:ascii="仿宋_GB2312" w:hAnsi="仿宋_GB2312" w:cs="仿宋_GB2312"/>
          <w:b/>
        </w:rPr>
        <w:t xml:space="preserve">第二十六条 </w:t>
      </w:r>
      <w:r>
        <w:rPr>
          <w:rFonts w:hint="eastAsia" w:ascii="仿宋_GB2312" w:hAnsi="仿宋_GB2312" w:cs="仿宋_GB2312"/>
          <w:bCs/>
        </w:rPr>
        <w:t>享受财政补贴的新能源项目，全生命周期合理利用小时数内的补贴标准按照原有政策执行。</w:t>
      </w:r>
    </w:p>
    <w:p w14:paraId="0EE4480A">
      <w:pPr>
        <w:snapToGrid w:val="0"/>
        <w:spacing w:line="580" w:lineRule="exact"/>
        <w:ind w:firstLine="643" w:firstLineChars="200"/>
        <w:rPr>
          <w:rFonts w:hint="eastAsia" w:ascii="仿宋_GB2312" w:hAnsi="仿宋_GB2312" w:cs="仿宋_GB2312"/>
          <w:bCs/>
        </w:rPr>
      </w:pPr>
      <w:r>
        <w:rPr>
          <w:rFonts w:hint="eastAsia" w:ascii="仿宋_GB2312" w:hAnsi="仿宋_GB2312" w:cs="仿宋_GB2312"/>
          <w:b/>
        </w:rPr>
        <w:t>第二十七条</w:t>
      </w:r>
      <w:r>
        <w:rPr>
          <w:rFonts w:hint="eastAsia" w:ascii="仿宋_GB2312" w:hAnsi="仿宋_GB2312" w:cs="仿宋_GB2312"/>
          <w:bCs/>
        </w:rPr>
        <w:t xml:space="preserve"> 北京市新能源发电企业选择参与绿色电力交易后，参与绿色电力交易的电量不得再选择进入机制电价；国家发展改革委、国家能源局《关于深化新能源上网电价市场化改革 促进新能源高质量发展的通知》(发改价格〔2025〕136号)出台前已开展过绿色电力交易的新能源发电项目，也不得选择进入机制电价。</w:t>
      </w:r>
    </w:p>
    <w:p w14:paraId="66AC5B42">
      <w:pPr>
        <w:snapToGrid w:val="0"/>
        <w:spacing w:line="580" w:lineRule="exact"/>
        <w:ind w:firstLine="643" w:firstLineChars="200"/>
        <w:rPr>
          <w:rFonts w:hint="eastAsia" w:ascii="仿宋_GB2312" w:hAnsi="仿宋_GB2312" w:cs="仿宋_GB2312"/>
          <w:bCs/>
        </w:rPr>
      </w:pPr>
      <w:r>
        <w:rPr>
          <w:rFonts w:hint="eastAsia" w:ascii="仿宋_GB2312" w:hAnsi="仿宋_GB2312" w:cs="仿宋_GB2312"/>
          <w:b/>
        </w:rPr>
        <w:t>第二十八条</w:t>
      </w:r>
      <w:r>
        <w:rPr>
          <w:rFonts w:hint="eastAsia" w:ascii="仿宋_GB2312" w:hAnsi="仿宋_GB2312" w:cs="仿宋_GB2312"/>
          <w:bCs/>
        </w:rPr>
        <w:t xml:space="preserve"> 北京市新能源发电企业参与电力市场后，若参与市场的电量小于保障利用小时数所对应的电量，剩余电量不再由国网北京市电力公司兜底。</w:t>
      </w:r>
    </w:p>
    <w:p w14:paraId="14DC95A4">
      <w:pPr>
        <w:snapToGrid w:val="0"/>
        <w:spacing w:line="580" w:lineRule="exact"/>
        <w:ind w:firstLine="643" w:firstLineChars="200"/>
        <w:rPr>
          <w:rFonts w:hint="eastAsia" w:ascii="仿宋_GB2312" w:hAnsi="仿宋_GB2312" w:cs="仿宋_GB2312"/>
          <w:bCs/>
        </w:rPr>
      </w:pPr>
      <w:r>
        <w:rPr>
          <w:rFonts w:hint="eastAsia" w:ascii="仿宋_GB2312" w:hAnsi="仿宋_GB2312" w:cs="仿宋_GB2312"/>
          <w:b/>
        </w:rPr>
        <w:t>第二十九条</w:t>
      </w:r>
      <w:r>
        <w:rPr>
          <w:rFonts w:hint="eastAsia" w:ascii="黑体" w:eastAsia="黑体" w:cs="仿宋_GB2312"/>
          <w:bCs/>
        </w:rPr>
        <w:t xml:space="preserve"> </w:t>
      </w:r>
      <w:r>
        <w:rPr>
          <w:rFonts w:hint="eastAsia" w:ascii="仿宋_GB2312" w:hAnsi="仿宋_GB2312" w:cs="仿宋_GB2312"/>
          <w:bCs/>
        </w:rPr>
        <w:t>2027年北京市新能源发电企业参与市场化交</w:t>
      </w:r>
      <w:r>
        <w:rPr>
          <w:rFonts w:hint="eastAsia" w:ascii="仿宋_GB2312" w:hAnsi="仿宋_GB2312" w:cs="仿宋_GB2312"/>
          <w:bCs/>
          <w:spacing w:val="-6"/>
        </w:rPr>
        <w:t>易按照本细则执行，如遇政策调整，由市城市管理委另行发布。</w:t>
      </w:r>
    </w:p>
    <w:sectPr>
      <w:footerReference r:id="rId4" w:type="default"/>
      <w:pgSz w:w="11906" w:h="16838"/>
      <w:pgMar w:top="2098" w:right="1474" w:bottom="1304" w:left="1587" w:header="851" w:footer="1304" w:gutter="0"/>
      <w:pgNumType w:fmt="numberInDash"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03B44B3-6442-4D4D-8E76-F0A0F5AF40F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4DC2160D-EE94-4EE3-818E-C0AAF02DB9E0}"/>
  </w:font>
  <w:font w:name="楷体_GB2312">
    <w:panose1 w:val="02010609030101010101"/>
    <w:charset w:val="86"/>
    <w:family w:val="modern"/>
    <w:pitch w:val="default"/>
    <w:sig w:usb0="00000001" w:usb1="080E0000" w:usb2="00000000" w:usb3="00000000" w:csb0="00040000" w:csb1="00000000"/>
    <w:embedRegular r:id="rId3" w:fontKey="{B4A57585-0FF1-430E-AFA7-601413D22D17}"/>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Garamond">
    <w:panose1 w:val="02020404030301010803"/>
    <w:charset w:val="00"/>
    <w:family w:val="roman"/>
    <w:pitch w:val="default"/>
    <w:sig w:usb0="00000287" w:usb1="00000000" w:usb2="00000000" w:usb3="00000000" w:csb0="0000009F" w:csb1="DFD70000"/>
  </w:font>
  <w:font w:name="华文楷体">
    <w:panose1 w:val="02010600040101010101"/>
    <w:charset w:val="86"/>
    <w:family w:val="auto"/>
    <w:pitch w:val="default"/>
    <w:sig w:usb0="00000287" w:usb1="080F0000" w:usb2="00000000" w:usb3="00000000" w:csb0="0004009F" w:csb1="DFD70000"/>
    <w:embedRegular r:id="rId4" w:fontKey="{08EF2F65-3962-428A-AD1F-18615FC19A78}"/>
  </w:font>
  <w:font w:name="方正小标宋简体">
    <w:panose1 w:val="02000000000000000000"/>
    <w:charset w:val="86"/>
    <w:family w:val="auto"/>
    <w:pitch w:val="default"/>
    <w:sig w:usb0="A00002BF" w:usb1="184F6CFA" w:usb2="00000012" w:usb3="00000000" w:csb0="00040001" w:csb1="00000000"/>
    <w:embedRegular r:id="rId5" w:fontKey="{AD0E202C-E0A7-499E-9B6F-413EDF5557FC}"/>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CESI宋体-GB18030">
    <w:altName w:val="微软雅黑"/>
    <w:panose1 w:val="00000000000000000000"/>
    <w:charset w:val="86"/>
    <w:family w:val="auto"/>
    <w:pitch w:val="default"/>
    <w:sig w:usb0="00000000" w:usb1="00000000" w:usb2="00000016" w:usb3="00000000" w:csb0="0004000F" w:csb1="00000000"/>
    <w:embedRegular r:id="rId6" w:fontKey="{5EBBA9D2-F3C6-4F83-96FC-723FF578803A}"/>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EE746">
    <w:pPr>
      <w:pStyle w:val="1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05F2DF2">
                          <w:pPr>
                            <w:pStyle w:val="19"/>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05F2DF2">
                    <w:pPr>
                      <w:pStyle w:val="19"/>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71C36B2A">
      <w:pPr>
        <w:widowControl/>
        <w:snapToGrid w:val="0"/>
        <w:ind w:firstLine="480"/>
        <w:jc w:val="left"/>
        <w:rPr>
          <w:rFonts w:hint="eastAsia" w:ascii="仿宋_GB2312" w:hAnsi="仿宋_GB2312" w:cs="仿宋_GB2312"/>
          <w:sz w:val="24"/>
          <w:szCs w:val="36"/>
        </w:rPr>
      </w:pPr>
      <w:r>
        <w:rPr>
          <w:rFonts w:ascii="Times New Roman" w:hAnsi="Times New Roman" w:eastAsia="宋体"/>
          <w:sz w:val="24"/>
          <w:szCs w:val="36"/>
          <w:vertAlign w:val="superscript"/>
        </w:rPr>
        <w:footnoteRef/>
      </w:r>
      <w:r>
        <w:rPr>
          <w:sz w:val="24"/>
          <w:szCs w:val="36"/>
        </w:rPr>
        <w:t xml:space="preserve"> </w:t>
      </w:r>
      <w:r>
        <w:rPr>
          <w:rFonts w:hint="eastAsia" w:ascii="仿宋_GB2312" w:hAnsi="仿宋_GB2312" w:cs="仿宋_GB2312"/>
          <w:sz w:val="24"/>
          <w:szCs w:val="36"/>
        </w:rPr>
        <w:t>新能源发电企业偏差结算差额资金由京津唐电网月度竞价出清价格超过（或低于）当月新能源发电企业偏差电价的部分与偏差电量的乘积构成。</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2"/>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0000002"/>
    <w:multiLevelType w:val="multilevel"/>
    <w:tmpl w:val="00000002"/>
    <w:lvl w:ilvl="0" w:tentative="0">
      <w:start w:val="1"/>
      <w:numFmt w:val="chineseCounting"/>
      <w:suff w:val="nothing"/>
      <w:lvlText w:val="（%1）"/>
      <w:lvlJc w:val="left"/>
      <w:pPr>
        <w:ind w:left="0" w:firstLine="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1"/>
  <w:bordersDoNotSurroundFooter w:val="1"/>
  <w:documentProtection w:enforcement="0"/>
  <w:defaultTabStop w:val="420"/>
  <w:drawingGridHorizontalSpacing w:val="160"/>
  <w:drawingGridVerticalSpacing w:val="156"/>
  <w:noPunctuationKerning w:val="1"/>
  <w:characterSpacingControl w:val="compressPunctuation"/>
  <w:doNotValidateAgainstSchema/>
  <w:doNotDemarcateInvalidXml/>
  <w:footnotePr>
    <w:footnote w:id="2"/>
    <w:footnote w:id="3"/>
  </w:foot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1NDNmMjBmZjExNTQyMzAzZjQ3ZjU2YTJjZDliMDUifQ=="/>
  </w:docVars>
  <w:rsids>
    <w:rsidRoot w:val="00172A27"/>
    <w:rsid w:val="00000446"/>
    <w:rsid w:val="000008EF"/>
    <w:rsid w:val="00000AC4"/>
    <w:rsid w:val="000010DA"/>
    <w:rsid w:val="00001367"/>
    <w:rsid w:val="00001BF6"/>
    <w:rsid w:val="00002985"/>
    <w:rsid w:val="00003142"/>
    <w:rsid w:val="00003733"/>
    <w:rsid w:val="00003B08"/>
    <w:rsid w:val="00003CE3"/>
    <w:rsid w:val="00003F62"/>
    <w:rsid w:val="000049A2"/>
    <w:rsid w:val="00004C7B"/>
    <w:rsid w:val="00004D78"/>
    <w:rsid w:val="00005289"/>
    <w:rsid w:val="00005661"/>
    <w:rsid w:val="000062A4"/>
    <w:rsid w:val="00006843"/>
    <w:rsid w:val="00006F7E"/>
    <w:rsid w:val="000078D4"/>
    <w:rsid w:val="0001079D"/>
    <w:rsid w:val="00011817"/>
    <w:rsid w:val="00012B3A"/>
    <w:rsid w:val="000135EC"/>
    <w:rsid w:val="00013AF7"/>
    <w:rsid w:val="00014062"/>
    <w:rsid w:val="00014F95"/>
    <w:rsid w:val="0001561E"/>
    <w:rsid w:val="00015CEB"/>
    <w:rsid w:val="00015FEB"/>
    <w:rsid w:val="00016031"/>
    <w:rsid w:val="00016275"/>
    <w:rsid w:val="00016F9E"/>
    <w:rsid w:val="00020EAD"/>
    <w:rsid w:val="00022033"/>
    <w:rsid w:val="000222E1"/>
    <w:rsid w:val="0002277C"/>
    <w:rsid w:val="0002283A"/>
    <w:rsid w:val="00023EB5"/>
    <w:rsid w:val="00025603"/>
    <w:rsid w:val="00026155"/>
    <w:rsid w:val="0002772F"/>
    <w:rsid w:val="000332C6"/>
    <w:rsid w:val="00033B11"/>
    <w:rsid w:val="00033EE4"/>
    <w:rsid w:val="000346D2"/>
    <w:rsid w:val="00035963"/>
    <w:rsid w:val="00035A26"/>
    <w:rsid w:val="00035CF1"/>
    <w:rsid w:val="00036240"/>
    <w:rsid w:val="0003665D"/>
    <w:rsid w:val="000368D3"/>
    <w:rsid w:val="00036CB2"/>
    <w:rsid w:val="0003708B"/>
    <w:rsid w:val="00037723"/>
    <w:rsid w:val="00040D0C"/>
    <w:rsid w:val="00041BAB"/>
    <w:rsid w:val="00041EEA"/>
    <w:rsid w:val="00043431"/>
    <w:rsid w:val="000438F2"/>
    <w:rsid w:val="00043A1A"/>
    <w:rsid w:val="00046E77"/>
    <w:rsid w:val="0005035A"/>
    <w:rsid w:val="00053428"/>
    <w:rsid w:val="00054A92"/>
    <w:rsid w:val="00055A08"/>
    <w:rsid w:val="0005625A"/>
    <w:rsid w:val="0005692D"/>
    <w:rsid w:val="00057A0B"/>
    <w:rsid w:val="00057D35"/>
    <w:rsid w:val="00057F85"/>
    <w:rsid w:val="000625C3"/>
    <w:rsid w:val="00062B9E"/>
    <w:rsid w:val="00063693"/>
    <w:rsid w:val="000646E6"/>
    <w:rsid w:val="00064852"/>
    <w:rsid w:val="00064896"/>
    <w:rsid w:val="000652A4"/>
    <w:rsid w:val="00065D01"/>
    <w:rsid w:val="00066D4A"/>
    <w:rsid w:val="00066E6D"/>
    <w:rsid w:val="00066F46"/>
    <w:rsid w:val="00067343"/>
    <w:rsid w:val="000675A6"/>
    <w:rsid w:val="00072AA9"/>
    <w:rsid w:val="000735E8"/>
    <w:rsid w:val="000738C7"/>
    <w:rsid w:val="00074357"/>
    <w:rsid w:val="00074C8D"/>
    <w:rsid w:val="00074D52"/>
    <w:rsid w:val="00075E6E"/>
    <w:rsid w:val="00075F75"/>
    <w:rsid w:val="00076250"/>
    <w:rsid w:val="00077576"/>
    <w:rsid w:val="000809FB"/>
    <w:rsid w:val="0008547B"/>
    <w:rsid w:val="000863C8"/>
    <w:rsid w:val="0008643B"/>
    <w:rsid w:val="00091A93"/>
    <w:rsid w:val="0009257A"/>
    <w:rsid w:val="00092C8E"/>
    <w:rsid w:val="00093824"/>
    <w:rsid w:val="00094D57"/>
    <w:rsid w:val="00096287"/>
    <w:rsid w:val="00096843"/>
    <w:rsid w:val="000968F3"/>
    <w:rsid w:val="00096B7D"/>
    <w:rsid w:val="000A0F75"/>
    <w:rsid w:val="000A0F7A"/>
    <w:rsid w:val="000A17B0"/>
    <w:rsid w:val="000A2585"/>
    <w:rsid w:val="000A2823"/>
    <w:rsid w:val="000A2F39"/>
    <w:rsid w:val="000A3669"/>
    <w:rsid w:val="000A6EC0"/>
    <w:rsid w:val="000A7049"/>
    <w:rsid w:val="000A72AB"/>
    <w:rsid w:val="000B063F"/>
    <w:rsid w:val="000B0AFE"/>
    <w:rsid w:val="000B221E"/>
    <w:rsid w:val="000B2439"/>
    <w:rsid w:val="000B2C99"/>
    <w:rsid w:val="000B2CE7"/>
    <w:rsid w:val="000B3390"/>
    <w:rsid w:val="000B3D62"/>
    <w:rsid w:val="000B4793"/>
    <w:rsid w:val="000B4C39"/>
    <w:rsid w:val="000B667B"/>
    <w:rsid w:val="000B6D9E"/>
    <w:rsid w:val="000B7046"/>
    <w:rsid w:val="000B73A2"/>
    <w:rsid w:val="000C03BB"/>
    <w:rsid w:val="000C1087"/>
    <w:rsid w:val="000C2AA5"/>
    <w:rsid w:val="000C3490"/>
    <w:rsid w:val="000C35DA"/>
    <w:rsid w:val="000C3FEF"/>
    <w:rsid w:val="000C4EC7"/>
    <w:rsid w:val="000C6243"/>
    <w:rsid w:val="000C65BD"/>
    <w:rsid w:val="000C69C7"/>
    <w:rsid w:val="000C69FF"/>
    <w:rsid w:val="000C774E"/>
    <w:rsid w:val="000D0A06"/>
    <w:rsid w:val="000D195B"/>
    <w:rsid w:val="000D3D4A"/>
    <w:rsid w:val="000D3F03"/>
    <w:rsid w:val="000D40D6"/>
    <w:rsid w:val="000D7B38"/>
    <w:rsid w:val="000E02D4"/>
    <w:rsid w:val="000E18E5"/>
    <w:rsid w:val="000E1F66"/>
    <w:rsid w:val="000E4519"/>
    <w:rsid w:val="000E4CDA"/>
    <w:rsid w:val="000E4D33"/>
    <w:rsid w:val="000E5276"/>
    <w:rsid w:val="000E5FC5"/>
    <w:rsid w:val="000E64F6"/>
    <w:rsid w:val="000F1F88"/>
    <w:rsid w:val="000F1FC8"/>
    <w:rsid w:val="000F4AB0"/>
    <w:rsid w:val="000F4B52"/>
    <w:rsid w:val="000F4E12"/>
    <w:rsid w:val="000F4F3A"/>
    <w:rsid w:val="000F571B"/>
    <w:rsid w:val="000F5DF5"/>
    <w:rsid w:val="000F78E7"/>
    <w:rsid w:val="000F794B"/>
    <w:rsid w:val="000F7E52"/>
    <w:rsid w:val="001007A2"/>
    <w:rsid w:val="00100D09"/>
    <w:rsid w:val="00100FF8"/>
    <w:rsid w:val="0010359F"/>
    <w:rsid w:val="00104260"/>
    <w:rsid w:val="00104C35"/>
    <w:rsid w:val="0010588F"/>
    <w:rsid w:val="00106281"/>
    <w:rsid w:val="00107348"/>
    <w:rsid w:val="00110E2F"/>
    <w:rsid w:val="00111B11"/>
    <w:rsid w:val="00112071"/>
    <w:rsid w:val="001126F2"/>
    <w:rsid w:val="001128AF"/>
    <w:rsid w:val="00114E08"/>
    <w:rsid w:val="001152DB"/>
    <w:rsid w:val="001159D8"/>
    <w:rsid w:val="001164F5"/>
    <w:rsid w:val="001171C6"/>
    <w:rsid w:val="00117AA2"/>
    <w:rsid w:val="00120771"/>
    <w:rsid w:val="00121238"/>
    <w:rsid w:val="00121588"/>
    <w:rsid w:val="00121BB0"/>
    <w:rsid w:val="001221F2"/>
    <w:rsid w:val="00125CE3"/>
    <w:rsid w:val="00131727"/>
    <w:rsid w:val="00131B9D"/>
    <w:rsid w:val="00132B0F"/>
    <w:rsid w:val="00133357"/>
    <w:rsid w:val="00135DD1"/>
    <w:rsid w:val="00136586"/>
    <w:rsid w:val="001368A0"/>
    <w:rsid w:val="0014029E"/>
    <w:rsid w:val="00141CC6"/>
    <w:rsid w:val="001421F5"/>
    <w:rsid w:val="0014299A"/>
    <w:rsid w:val="001432E8"/>
    <w:rsid w:val="00144478"/>
    <w:rsid w:val="00144A04"/>
    <w:rsid w:val="001455FB"/>
    <w:rsid w:val="0014652F"/>
    <w:rsid w:val="00146DE8"/>
    <w:rsid w:val="00147566"/>
    <w:rsid w:val="0014775D"/>
    <w:rsid w:val="00147F74"/>
    <w:rsid w:val="00150666"/>
    <w:rsid w:val="00150ACD"/>
    <w:rsid w:val="00150BB4"/>
    <w:rsid w:val="00151144"/>
    <w:rsid w:val="001515E1"/>
    <w:rsid w:val="0015205B"/>
    <w:rsid w:val="00153493"/>
    <w:rsid w:val="001536D0"/>
    <w:rsid w:val="00153E37"/>
    <w:rsid w:val="00154085"/>
    <w:rsid w:val="00154E03"/>
    <w:rsid w:val="00154ED9"/>
    <w:rsid w:val="00155CCD"/>
    <w:rsid w:val="00155E6E"/>
    <w:rsid w:val="0015636F"/>
    <w:rsid w:val="001565EF"/>
    <w:rsid w:val="001573A1"/>
    <w:rsid w:val="00161241"/>
    <w:rsid w:val="00161284"/>
    <w:rsid w:val="00161851"/>
    <w:rsid w:val="001619C7"/>
    <w:rsid w:val="0016251E"/>
    <w:rsid w:val="00162EB8"/>
    <w:rsid w:val="00164357"/>
    <w:rsid w:val="001646A1"/>
    <w:rsid w:val="00164988"/>
    <w:rsid w:val="00165688"/>
    <w:rsid w:val="00166654"/>
    <w:rsid w:val="001667B1"/>
    <w:rsid w:val="00166A95"/>
    <w:rsid w:val="00167376"/>
    <w:rsid w:val="001675D6"/>
    <w:rsid w:val="0017147F"/>
    <w:rsid w:val="00171840"/>
    <w:rsid w:val="001718AD"/>
    <w:rsid w:val="00172A27"/>
    <w:rsid w:val="00172D66"/>
    <w:rsid w:val="00173690"/>
    <w:rsid w:val="00174703"/>
    <w:rsid w:val="0017493E"/>
    <w:rsid w:val="00174A0B"/>
    <w:rsid w:val="00174A5A"/>
    <w:rsid w:val="001753F3"/>
    <w:rsid w:val="00175558"/>
    <w:rsid w:val="001755C0"/>
    <w:rsid w:val="0017584C"/>
    <w:rsid w:val="00176EF8"/>
    <w:rsid w:val="001771DB"/>
    <w:rsid w:val="001774B2"/>
    <w:rsid w:val="001801E7"/>
    <w:rsid w:val="001817B5"/>
    <w:rsid w:val="00182158"/>
    <w:rsid w:val="00182DBE"/>
    <w:rsid w:val="001837D3"/>
    <w:rsid w:val="001839FC"/>
    <w:rsid w:val="00184214"/>
    <w:rsid w:val="00184F49"/>
    <w:rsid w:val="00185164"/>
    <w:rsid w:val="001866D6"/>
    <w:rsid w:val="00187BEF"/>
    <w:rsid w:val="001927B1"/>
    <w:rsid w:val="00192C3E"/>
    <w:rsid w:val="00192CBE"/>
    <w:rsid w:val="00192DC0"/>
    <w:rsid w:val="00193B65"/>
    <w:rsid w:val="00193D60"/>
    <w:rsid w:val="001947DA"/>
    <w:rsid w:val="00194B69"/>
    <w:rsid w:val="00194BFC"/>
    <w:rsid w:val="00195A78"/>
    <w:rsid w:val="00196A63"/>
    <w:rsid w:val="00196E0B"/>
    <w:rsid w:val="001A0714"/>
    <w:rsid w:val="001A0FD2"/>
    <w:rsid w:val="001A1418"/>
    <w:rsid w:val="001A17AE"/>
    <w:rsid w:val="001A20EB"/>
    <w:rsid w:val="001A54DA"/>
    <w:rsid w:val="001A5583"/>
    <w:rsid w:val="001A7B25"/>
    <w:rsid w:val="001A7E3E"/>
    <w:rsid w:val="001B01E3"/>
    <w:rsid w:val="001B1EEA"/>
    <w:rsid w:val="001B4097"/>
    <w:rsid w:val="001B4DF7"/>
    <w:rsid w:val="001B5A28"/>
    <w:rsid w:val="001B6BB6"/>
    <w:rsid w:val="001B7597"/>
    <w:rsid w:val="001C0F85"/>
    <w:rsid w:val="001C1A25"/>
    <w:rsid w:val="001C3429"/>
    <w:rsid w:val="001C3623"/>
    <w:rsid w:val="001C3C94"/>
    <w:rsid w:val="001C4570"/>
    <w:rsid w:val="001C4742"/>
    <w:rsid w:val="001C4B70"/>
    <w:rsid w:val="001C598E"/>
    <w:rsid w:val="001C5B8B"/>
    <w:rsid w:val="001D05B1"/>
    <w:rsid w:val="001D0B3B"/>
    <w:rsid w:val="001D1826"/>
    <w:rsid w:val="001D214A"/>
    <w:rsid w:val="001D2B65"/>
    <w:rsid w:val="001D3FCE"/>
    <w:rsid w:val="001D4C52"/>
    <w:rsid w:val="001D623C"/>
    <w:rsid w:val="001D6831"/>
    <w:rsid w:val="001D77BE"/>
    <w:rsid w:val="001E130B"/>
    <w:rsid w:val="001E14C8"/>
    <w:rsid w:val="001E1CDA"/>
    <w:rsid w:val="001E2EB8"/>
    <w:rsid w:val="001E3257"/>
    <w:rsid w:val="001E4154"/>
    <w:rsid w:val="001E4983"/>
    <w:rsid w:val="001E4D6C"/>
    <w:rsid w:val="001E5473"/>
    <w:rsid w:val="001E5ABB"/>
    <w:rsid w:val="001E5BFF"/>
    <w:rsid w:val="001E6420"/>
    <w:rsid w:val="001E7DD7"/>
    <w:rsid w:val="001F04F3"/>
    <w:rsid w:val="001F124D"/>
    <w:rsid w:val="001F1580"/>
    <w:rsid w:val="001F21CA"/>
    <w:rsid w:val="001F326A"/>
    <w:rsid w:val="001F40A2"/>
    <w:rsid w:val="001F4282"/>
    <w:rsid w:val="001F44D3"/>
    <w:rsid w:val="001F6CD6"/>
    <w:rsid w:val="00200015"/>
    <w:rsid w:val="002000A0"/>
    <w:rsid w:val="0020012E"/>
    <w:rsid w:val="0020140E"/>
    <w:rsid w:val="00201479"/>
    <w:rsid w:val="00201C84"/>
    <w:rsid w:val="00201EF1"/>
    <w:rsid w:val="002029AE"/>
    <w:rsid w:val="00203408"/>
    <w:rsid w:val="002036AC"/>
    <w:rsid w:val="00203A94"/>
    <w:rsid w:val="00203EF7"/>
    <w:rsid w:val="0020506B"/>
    <w:rsid w:val="002051E6"/>
    <w:rsid w:val="00205A87"/>
    <w:rsid w:val="00211D66"/>
    <w:rsid w:val="00213025"/>
    <w:rsid w:val="002132FE"/>
    <w:rsid w:val="002134F8"/>
    <w:rsid w:val="0021365C"/>
    <w:rsid w:val="0021585F"/>
    <w:rsid w:val="002179B1"/>
    <w:rsid w:val="0022298E"/>
    <w:rsid w:val="00223659"/>
    <w:rsid w:val="00223E36"/>
    <w:rsid w:val="00227CC6"/>
    <w:rsid w:val="00227D89"/>
    <w:rsid w:val="002317E6"/>
    <w:rsid w:val="00233039"/>
    <w:rsid w:val="00233CA5"/>
    <w:rsid w:val="00233F81"/>
    <w:rsid w:val="00234054"/>
    <w:rsid w:val="00235942"/>
    <w:rsid w:val="00237429"/>
    <w:rsid w:val="0024054C"/>
    <w:rsid w:val="00241516"/>
    <w:rsid w:val="00242966"/>
    <w:rsid w:val="002439F4"/>
    <w:rsid w:val="00243C32"/>
    <w:rsid w:val="00244643"/>
    <w:rsid w:val="0024514E"/>
    <w:rsid w:val="0024571B"/>
    <w:rsid w:val="00247045"/>
    <w:rsid w:val="002474E8"/>
    <w:rsid w:val="002476CC"/>
    <w:rsid w:val="002479F9"/>
    <w:rsid w:val="00247FDF"/>
    <w:rsid w:val="0025138E"/>
    <w:rsid w:val="00252DE0"/>
    <w:rsid w:val="00253161"/>
    <w:rsid w:val="002531CC"/>
    <w:rsid w:val="002536F0"/>
    <w:rsid w:val="002540B7"/>
    <w:rsid w:val="00254812"/>
    <w:rsid w:val="00254846"/>
    <w:rsid w:val="0025616B"/>
    <w:rsid w:val="002571C8"/>
    <w:rsid w:val="002577D3"/>
    <w:rsid w:val="00260B9B"/>
    <w:rsid w:val="00261256"/>
    <w:rsid w:val="00264207"/>
    <w:rsid w:val="002647F5"/>
    <w:rsid w:val="00265424"/>
    <w:rsid w:val="00265513"/>
    <w:rsid w:val="00266410"/>
    <w:rsid w:val="002669A6"/>
    <w:rsid w:val="00267BF5"/>
    <w:rsid w:val="002729D4"/>
    <w:rsid w:val="002730DB"/>
    <w:rsid w:val="00273554"/>
    <w:rsid w:val="00274556"/>
    <w:rsid w:val="002753E3"/>
    <w:rsid w:val="00275539"/>
    <w:rsid w:val="00275FDE"/>
    <w:rsid w:val="00276149"/>
    <w:rsid w:val="00276C8E"/>
    <w:rsid w:val="002779A6"/>
    <w:rsid w:val="00280028"/>
    <w:rsid w:val="00280587"/>
    <w:rsid w:val="002808B2"/>
    <w:rsid w:val="002824A9"/>
    <w:rsid w:val="00282646"/>
    <w:rsid w:val="00285ED0"/>
    <w:rsid w:val="00286570"/>
    <w:rsid w:val="0028671D"/>
    <w:rsid w:val="00286FFE"/>
    <w:rsid w:val="00287945"/>
    <w:rsid w:val="00287F20"/>
    <w:rsid w:val="00287F8D"/>
    <w:rsid w:val="002903EE"/>
    <w:rsid w:val="00290BB6"/>
    <w:rsid w:val="0029115C"/>
    <w:rsid w:val="00291CE7"/>
    <w:rsid w:val="00292CDA"/>
    <w:rsid w:val="00292FB2"/>
    <w:rsid w:val="00293612"/>
    <w:rsid w:val="002952D8"/>
    <w:rsid w:val="00295982"/>
    <w:rsid w:val="002974C9"/>
    <w:rsid w:val="002A0207"/>
    <w:rsid w:val="002A17FB"/>
    <w:rsid w:val="002A436C"/>
    <w:rsid w:val="002A69DF"/>
    <w:rsid w:val="002A732D"/>
    <w:rsid w:val="002A78E7"/>
    <w:rsid w:val="002A799B"/>
    <w:rsid w:val="002B26E7"/>
    <w:rsid w:val="002B2A27"/>
    <w:rsid w:val="002B349C"/>
    <w:rsid w:val="002B35FE"/>
    <w:rsid w:val="002B3B1E"/>
    <w:rsid w:val="002B456A"/>
    <w:rsid w:val="002B564D"/>
    <w:rsid w:val="002B57B0"/>
    <w:rsid w:val="002B68C1"/>
    <w:rsid w:val="002B692D"/>
    <w:rsid w:val="002B6E86"/>
    <w:rsid w:val="002B7FD0"/>
    <w:rsid w:val="002C052B"/>
    <w:rsid w:val="002C05A7"/>
    <w:rsid w:val="002C075C"/>
    <w:rsid w:val="002C07CC"/>
    <w:rsid w:val="002C1159"/>
    <w:rsid w:val="002C1571"/>
    <w:rsid w:val="002C1DEE"/>
    <w:rsid w:val="002C2731"/>
    <w:rsid w:val="002C2A0D"/>
    <w:rsid w:val="002C2A34"/>
    <w:rsid w:val="002C3ED3"/>
    <w:rsid w:val="002C77D2"/>
    <w:rsid w:val="002D00D8"/>
    <w:rsid w:val="002D27B8"/>
    <w:rsid w:val="002D291D"/>
    <w:rsid w:val="002D2E70"/>
    <w:rsid w:val="002D3E2A"/>
    <w:rsid w:val="002D4F73"/>
    <w:rsid w:val="002D5C8D"/>
    <w:rsid w:val="002D6180"/>
    <w:rsid w:val="002D672E"/>
    <w:rsid w:val="002E2ECC"/>
    <w:rsid w:val="002E420C"/>
    <w:rsid w:val="002E437F"/>
    <w:rsid w:val="002E467B"/>
    <w:rsid w:val="002E47AE"/>
    <w:rsid w:val="002E47CD"/>
    <w:rsid w:val="002E4976"/>
    <w:rsid w:val="002E648F"/>
    <w:rsid w:val="002E66F0"/>
    <w:rsid w:val="002F0B43"/>
    <w:rsid w:val="002F108F"/>
    <w:rsid w:val="002F12E7"/>
    <w:rsid w:val="002F1F26"/>
    <w:rsid w:val="002F45AC"/>
    <w:rsid w:val="002F45C1"/>
    <w:rsid w:val="002F4733"/>
    <w:rsid w:val="002F5814"/>
    <w:rsid w:val="002F5DC8"/>
    <w:rsid w:val="002F631D"/>
    <w:rsid w:val="002F6403"/>
    <w:rsid w:val="003005AF"/>
    <w:rsid w:val="00300C29"/>
    <w:rsid w:val="00302BE6"/>
    <w:rsid w:val="00303680"/>
    <w:rsid w:val="00304B6F"/>
    <w:rsid w:val="00304CF3"/>
    <w:rsid w:val="00304E68"/>
    <w:rsid w:val="003056D2"/>
    <w:rsid w:val="00306D60"/>
    <w:rsid w:val="0030767C"/>
    <w:rsid w:val="00310C8F"/>
    <w:rsid w:val="00311A17"/>
    <w:rsid w:val="00311AA9"/>
    <w:rsid w:val="00311BAF"/>
    <w:rsid w:val="003151A8"/>
    <w:rsid w:val="00315980"/>
    <w:rsid w:val="00315C3A"/>
    <w:rsid w:val="00316343"/>
    <w:rsid w:val="00316A75"/>
    <w:rsid w:val="003170C0"/>
    <w:rsid w:val="00317620"/>
    <w:rsid w:val="00317734"/>
    <w:rsid w:val="00320087"/>
    <w:rsid w:val="00320EB1"/>
    <w:rsid w:val="003240F5"/>
    <w:rsid w:val="00326471"/>
    <w:rsid w:val="00330B32"/>
    <w:rsid w:val="0033108E"/>
    <w:rsid w:val="0033241A"/>
    <w:rsid w:val="0033283C"/>
    <w:rsid w:val="00333FA9"/>
    <w:rsid w:val="00335544"/>
    <w:rsid w:val="00335AD3"/>
    <w:rsid w:val="00336FFC"/>
    <w:rsid w:val="0033793C"/>
    <w:rsid w:val="00340777"/>
    <w:rsid w:val="003411FF"/>
    <w:rsid w:val="003414EC"/>
    <w:rsid w:val="003441C4"/>
    <w:rsid w:val="00344755"/>
    <w:rsid w:val="003447B8"/>
    <w:rsid w:val="0034584A"/>
    <w:rsid w:val="00350183"/>
    <w:rsid w:val="00350E08"/>
    <w:rsid w:val="00351F6E"/>
    <w:rsid w:val="00351FE3"/>
    <w:rsid w:val="0035227A"/>
    <w:rsid w:val="00352B28"/>
    <w:rsid w:val="003536C6"/>
    <w:rsid w:val="00354A9E"/>
    <w:rsid w:val="00355810"/>
    <w:rsid w:val="00357054"/>
    <w:rsid w:val="00357B4C"/>
    <w:rsid w:val="00360A6F"/>
    <w:rsid w:val="003611F4"/>
    <w:rsid w:val="00362052"/>
    <w:rsid w:val="00362F67"/>
    <w:rsid w:val="003639BF"/>
    <w:rsid w:val="003647E3"/>
    <w:rsid w:val="0036525D"/>
    <w:rsid w:val="00365FD1"/>
    <w:rsid w:val="00367279"/>
    <w:rsid w:val="0037058D"/>
    <w:rsid w:val="003706D5"/>
    <w:rsid w:val="00370CAE"/>
    <w:rsid w:val="003712F2"/>
    <w:rsid w:val="0037584B"/>
    <w:rsid w:val="003758F9"/>
    <w:rsid w:val="00375C12"/>
    <w:rsid w:val="00376135"/>
    <w:rsid w:val="003763B4"/>
    <w:rsid w:val="003774E6"/>
    <w:rsid w:val="003802EE"/>
    <w:rsid w:val="0038134F"/>
    <w:rsid w:val="0038266C"/>
    <w:rsid w:val="00382717"/>
    <w:rsid w:val="00384259"/>
    <w:rsid w:val="00384F66"/>
    <w:rsid w:val="003853B3"/>
    <w:rsid w:val="00386E95"/>
    <w:rsid w:val="003879C4"/>
    <w:rsid w:val="00391C55"/>
    <w:rsid w:val="00392030"/>
    <w:rsid w:val="00392D17"/>
    <w:rsid w:val="003937A0"/>
    <w:rsid w:val="003957AA"/>
    <w:rsid w:val="00395834"/>
    <w:rsid w:val="00395EF2"/>
    <w:rsid w:val="0039799E"/>
    <w:rsid w:val="003A01EB"/>
    <w:rsid w:val="003A1C82"/>
    <w:rsid w:val="003A227E"/>
    <w:rsid w:val="003A24D4"/>
    <w:rsid w:val="003A2503"/>
    <w:rsid w:val="003A4764"/>
    <w:rsid w:val="003A4916"/>
    <w:rsid w:val="003A4BCD"/>
    <w:rsid w:val="003A5258"/>
    <w:rsid w:val="003A7F47"/>
    <w:rsid w:val="003B0478"/>
    <w:rsid w:val="003B0CC1"/>
    <w:rsid w:val="003B163E"/>
    <w:rsid w:val="003B412E"/>
    <w:rsid w:val="003B45F4"/>
    <w:rsid w:val="003B4ACD"/>
    <w:rsid w:val="003B67DD"/>
    <w:rsid w:val="003C1534"/>
    <w:rsid w:val="003C1A2B"/>
    <w:rsid w:val="003C1EFF"/>
    <w:rsid w:val="003C3B8B"/>
    <w:rsid w:val="003C5759"/>
    <w:rsid w:val="003C645C"/>
    <w:rsid w:val="003C7123"/>
    <w:rsid w:val="003C7F90"/>
    <w:rsid w:val="003D222C"/>
    <w:rsid w:val="003D23CF"/>
    <w:rsid w:val="003D5547"/>
    <w:rsid w:val="003D5914"/>
    <w:rsid w:val="003D67CB"/>
    <w:rsid w:val="003D6B57"/>
    <w:rsid w:val="003D6DA4"/>
    <w:rsid w:val="003D788B"/>
    <w:rsid w:val="003D79D4"/>
    <w:rsid w:val="003D7A3A"/>
    <w:rsid w:val="003E0735"/>
    <w:rsid w:val="003E0B30"/>
    <w:rsid w:val="003E21C8"/>
    <w:rsid w:val="003E2DAF"/>
    <w:rsid w:val="003E32D5"/>
    <w:rsid w:val="003E39BC"/>
    <w:rsid w:val="003E4692"/>
    <w:rsid w:val="003E62A0"/>
    <w:rsid w:val="003E68DA"/>
    <w:rsid w:val="003E7974"/>
    <w:rsid w:val="003E7D9C"/>
    <w:rsid w:val="003E7DAB"/>
    <w:rsid w:val="003F0222"/>
    <w:rsid w:val="003F14A6"/>
    <w:rsid w:val="003F3F1F"/>
    <w:rsid w:val="003F44D5"/>
    <w:rsid w:val="003F4FE6"/>
    <w:rsid w:val="003F50CF"/>
    <w:rsid w:val="003F5489"/>
    <w:rsid w:val="003F60F2"/>
    <w:rsid w:val="003F6B26"/>
    <w:rsid w:val="003F723C"/>
    <w:rsid w:val="00402AF0"/>
    <w:rsid w:val="0040303E"/>
    <w:rsid w:val="00405B45"/>
    <w:rsid w:val="00405EA2"/>
    <w:rsid w:val="00406F15"/>
    <w:rsid w:val="004072B9"/>
    <w:rsid w:val="0041021E"/>
    <w:rsid w:val="00410636"/>
    <w:rsid w:val="00412321"/>
    <w:rsid w:val="004124DA"/>
    <w:rsid w:val="00412993"/>
    <w:rsid w:val="00412A2F"/>
    <w:rsid w:val="004141F9"/>
    <w:rsid w:val="00415383"/>
    <w:rsid w:val="004168F0"/>
    <w:rsid w:val="00420274"/>
    <w:rsid w:val="00420B76"/>
    <w:rsid w:val="00420B97"/>
    <w:rsid w:val="004229D0"/>
    <w:rsid w:val="00423990"/>
    <w:rsid w:val="004239E7"/>
    <w:rsid w:val="00423A42"/>
    <w:rsid w:val="00423F95"/>
    <w:rsid w:val="00424FB9"/>
    <w:rsid w:val="004310C9"/>
    <w:rsid w:val="0043110A"/>
    <w:rsid w:val="0043184D"/>
    <w:rsid w:val="00437C04"/>
    <w:rsid w:val="004405DB"/>
    <w:rsid w:val="004406BB"/>
    <w:rsid w:val="004416DD"/>
    <w:rsid w:val="00441966"/>
    <w:rsid w:val="00442040"/>
    <w:rsid w:val="0044207D"/>
    <w:rsid w:val="00442281"/>
    <w:rsid w:val="00444CA8"/>
    <w:rsid w:val="00445614"/>
    <w:rsid w:val="00447A2E"/>
    <w:rsid w:val="0045072B"/>
    <w:rsid w:val="004511C7"/>
    <w:rsid w:val="00451618"/>
    <w:rsid w:val="00451F4C"/>
    <w:rsid w:val="00452027"/>
    <w:rsid w:val="004520AC"/>
    <w:rsid w:val="00452D6E"/>
    <w:rsid w:val="00453DB4"/>
    <w:rsid w:val="004547CE"/>
    <w:rsid w:val="0045485A"/>
    <w:rsid w:val="00454874"/>
    <w:rsid w:val="00454BE9"/>
    <w:rsid w:val="0045585D"/>
    <w:rsid w:val="00456E13"/>
    <w:rsid w:val="00460CEB"/>
    <w:rsid w:val="0046107E"/>
    <w:rsid w:val="00461DCB"/>
    <w:rsid w:val="0046213B"/>
    <w:rsid w:val="004621D3"/>
    <w:rsid w:val="00462D5A"/>
    <w:rsid w:val="00463BDC"/>
    <w:rsid w:val="00464316"/>
    <w:rsid w:val="00464585"/>
    <w:rsid w:val="0046536F"/>
    <w:rsid w:val="00465F63"/>
    <w:rsid w:val="004660A5"/>
    <w:rsid w:val="0046622A"/>
    <w:rsid w:val="00466468"/>
    <w:rsid w:val="00470300"/>
    <w:rsid w:val="00472172"/>
    <w:rsid w:val="00472DB4"/>
    <w:rsid w:val="00474BA1"/>
    <w:rsid w:val="00474FD1"/>
    <w:rsid w:val="00475184"/>
    <w:rsid w:val="004756EA"/>
    <w:rsid w:val="00475AFB"/>
    <w:rsid w:val="0047683E"/>
    <w:rsid w:val="00476A47"/>
    <w:rsid w:val="00476AA5"/>
    <w:rsid w:val="00477AA2"/>
    <w:rsid w:val="00480599"/>
    <w:rsid w:val="00480741"/>
    <w:rsid w:val="004812D3"/>
    <w:rsid w:val="0048262F"/>
    <w:rsid w:val="0048357E"/>
    <w:rsid w:val="0048425E"/>
    <w:rsid w:val="00484406"/>
    <w:rsid w:val="004845D7"/>
    <w:rsid w:val="004846A6"/>
    <w:rsid w:val="0048564D"/>
    <w:rsid w:val="00486235"/>
    <w:rsid w:val="00487259"/>
    <w:rsid w:val="00487DB7"/>
    <w:rsid w:val="00487E8C"/>
    <w:rsid w:val="00491A7F"/>
    <w:rsid w:val="004920EF"/>
    <w:rsid w:val="004929BC"/>
    <w:rsid w:val="00492AED"/>
    <w:rsid w:val="00492F4F"/>
    <w:rsid w:val="0049340F"/>
    <w:rsid w:val="0049456B"/>
    <w:rsid w:val="00494F69"/>
    <w:rsid w:val="004953D8"/>
    <w:rsid w:val="004955CE"/>
    <w:rsid w:val="00495C1D"/>
    <w:rsid w:val="00497699"/>
    <w:rsid w:val="004A02E8"/>
    <w:rsid w:val="004A1E6B"/>
    <w:rsid w:val="004A1ED7"/>
    <w:rsid w:val="004A31DA"/>
    <w:rsid w:val="004A3B60"/>
    <w:rsid w:val="004A3C6D"/>
    <w:rsid w:val="004A4CEB"/>
    <w:rsid w:val="004A6D49"/>
    <w:rsid w:val="004A703F"/>
    <w:rsid w:val="004A73EF"/>
    <w:rsid w:val="004B240D"/>
    <w:rsid w:val="004B3830"/>
    <w:rsid w:val="004B3B6C"/>
    <w:rsid w:val="004B439F"/>
    <w:rsid w:val="004B5364"/>
    <w:rsid w:val="004B592E"/>
    <w:rsid w:val="004B6E23"/>
    <w:rsid w:val="004C0395"/>
    <w:rsid w:val="004C0563"/>
    <w:rsid w:val="004C17B2"/>
    <w:rsid w:val="004C30AC"/>
    <w:rsid w:val="004C3B29"/>
    <w:rsid w:val="004C498C"/>
    <w:rsid w:val="004D0D5F"/>
    <w:rsid w:val="004D0DC9"/>
    <w:rsid w:val="004D127F"/>
    <w:rsid w:val="004D2DF1"/>
    <w:rsid w:val="004D32FB"/>
    <w:rsid w:val="004D34DC"/>
    <w:rsid w:val="004D4548"/>
    <w:rsid w:val="004D5142"/>
    <w:rsid w:val="004D58DC"/>
    <w:rsid w:val="004D65A1"/>
    <w:rsid w:val="004E0211"/>
    <w:rsid w:val="004E038B"/>
    <w:rsid w:val="004E0644"/>
    <w:rsid w:val="004E1B61"/>
    <w:rsid w:val="004E2CD0"/>
    <w:rsid w:val="004E329A"/>
    <w:rsid w:val="004E3672"/>
    <w:rsid w:val="004E38D8"/>
    <w:rsid w:val="004E3E51"/>
    <w:rsid w:val="004E44E9"/>
    <w:rsid w:val="004E59BA"/>
    <w:rsid w:val="004E5B66"/>
    <w:rsid w:val="004E74A5"/>
    <w:rsid w:val="004E7ED5"/>
    <w:rsid w:val="004F13CC"/>
    <w:rsid w:val="004F219A"/>
    <w:rsid w:val="004F22F1"/>
    <w:rsid w:val="004F273A"/>
    <w:rsid w:val="004F4370"/>
    <w:rsid w:val="004F4E19"/>
    <w:rsid w:val="004F5BD2"/>
    <w:rsid w:val="004F5ED1"/>
    <w:rsid w:val="004F6C00"/>
    <w:rsid w:val="004F710D"/>
    <w:rsid w:val="004F7BB1"/>
    <w:rsid w:val="004F7F3F"/>
    <w:rsid w:val="0050250A"/>
    <w:rsid w:val="005030B1"/>
    <w:rsid w:val="00504BF3"/>
    <w:rsid w:val="0050751B"/>
    <w:rsid w:val="005106AC"/>
    <w:rsid w:val="0051184C"/>
    <w:rsid w:val="00511C73"/>
    <w:rsid w:val="00512C5B"/>
    <w:rsid w:val="00513B7D"/>
    <w:rsid w:val="00514052"/>
    <w:rsid w:val="00520EB9"/>
    <w:rsid w:val="005224F4"/>
    <w:rsid w:val="00522EC0"/>
    <w:rsid w:val="005244BE"/>
    <w:rsid w:val="0052463F"/>
    <w:rsid w:val="00526A03"/>
    <w:rsid w:val="0052777E"/>
    <w:rsid w:val="005304E1"/>
    <w:rsid w:val="005308E5"/>
    <w:rsid w:val="005311B5"/>
    <w:rsid w:val="00531C15"/>
    <w:rsid w:val="00535413"/>
    <w:rsid w:val="00535F5E"/>
    <w:rsid w:val="00536D0A"/>
    <w:rsid w:val="00540A73"/>
    <w:rsid w:val="00540C76"/>
    <w:rsid w:val="00540E51"/>
    <w:rsid w:val="00541553"/>
    <w:rsid w:val="0054160B"/>
    <w:rsid w:val="00541759"/>
    <w:rsid w:val="005430C1"/>
    <w:rsid w:val="00543155"/>
    <w:rsid w:val="005438A4"/>
    <w:rsid w:val="00543C1B"/>
    <w:rsid w:val="00545204"/>
    <w:rsid w:val="0054731A"/>
    <w:rsid w:val="00551426"/>
    <w:rsid w:val="00553D4C"/>
    <w:rsid w:val="00553E9E"/>
    <w:rsid w:val="0055464F"/>
    <w:rsid w:val="005549E3"/>
    <w:rsid w:val="00556952"/>
    <w:rsid w:val="00556FDB"/>
    <w:rsid w:val="00557296"/>
    <w:rsid w:val="00557738"/>
    <w:rsid w:val="00557A53"/>
    <w:rsid w:val="00560AB1"/>
    <w:rsid w:val="00561A2A"/>
    <w:rsid w:val="00561FBF"/>
    <w:rsid w:val="005659FE"/>
    <w:rsid w:val="00565AAE"/>
    <w:rsid w:val="00566CFC"/>
    <w:rsid w:val="00566DF1"/>
    <w:rsid w:val="00566F20"/>
    <w:rsid w:val="0057047A"/>
    <w:rsid w:val="00570B1A"/>
    <w:rsid w:val="00572633"/>
    <w:rsid w:val="0057376F"/>
    <w:rsid w:val="00574714"/>
    <w:rsid w:val="005753E6"/>
    <w:rsid w:val="00575430"/>
    <w:rsid w:val="005774CD"/>
    <w:rsid w:val="00577F2C"/>
    <w:rsid w:val="00580EA7"/>
    <w:rsid w:val="00581F9E"/>
    <w:rsid w:val="005824AC"/>
    <w:rsid w:val="00582657"/>
    <w:rsid w:val="00583686"/>
    <w:rsid w:val="00584B94"/>
    <w:rsid w:val="00585668"/>
    <w:rsid w:val="00585B2B"/>
    <w:rsid w:val="00586E28"/>
    <w:rsid w:val="00586F42"/>
    <w:rsid w:val="005873F3"/>
    <w:rsid w:val="00587557"/>
    <w:rsid w:val="005902FE"/>
    <w:rsid w:val="00592372"/>
    <w:rsid w:val="0059365B"/>
    <w:rsid w:val="00594741"/>
    <w:rsid w:val="005958AC"/>
    <w:rsid w:val="00595B79"/>
    <w:rsid w:val="00595CDA"/>
    <w:rsid w:val="00596577"/>
    <w:rsid w:val="00596E64"/>
    <w:rsid w:val="00596F91"/>
    <w:rsid w:val="0059790A"/>
    <w:rsid w:val="005A0406"/>
    <w:rsid w:val="005A0B0D"/>
    <w:rsid w:val="005A0BEC"/>
    <w:rsid w:val="005A0D9F"/>
    <w:rsid w:val="005A3538"/>
    <w:rsid w:val="005A3750"/>
    <w:rsid w:val="005A39C8"/>
    <w:rsid w:val="005A39F9"/>
    <w:rsid w:val="005A3B92"/>
    <w:rsid w:val="005A3E09"/>
    <w:rsid w:val="005A4C51"/>
    <w:rsid w:val="005A53FD"/>
    <w:rsid w:val="005A5696"/>
    <w:rsid w:val="005A5F1A"/>
    <w:rsid w:val="005A6424"/>
    <w:rsid w:val="005A72CD"/>
    <w:rsid w:val="005B0690"/>
    <w:rsid w:val="005B1255"/>
    <w:rsid w:val="005B12DD"/>
    <w:rsid w:val="005B1A67"/>
    <w:rsid w:val="005B1DBF"/>
    <w:rsid w:val="005B1F17"/>
    <w:rsid w:val="005B2DF5"/>
    <w:rsid w:val="005B4782"/>
    <w:rsid w:val="005B5380"/>
    <w:rsid w:val="005B539B"/>
    <w:rsid w:val="005C0D2E"/>
    <w:rsid w:val="005C17EB"/>
    <w:rsid w:val="005C22E0"/>
    <w:rsid w:val="005C26DE"/>
    <w:rsid w:val="005C32DF"/>
    <w:rsid w:val="005C36A4"/>
    <w:rsid w:val="005C39CC"/>
    <w:rsid w:val="005C4CFF"/>
    <w:rsid w:val="005C5410"/>
    <w:rsid w:val="005C6009"/>
    <w:rsid w:val="005C641F"/>
    <w:rsid w:val="005C719C"/>
    <w:rsid w:val="005C7D37"/>
    <w:rsid w:val="005D0C8F"/>
    <w:rsid w:val="005D1A17"/>
    <w:rsid w:val="005D1B62"/>
    <w:rsid w:val="005D27A0"/>
    <w:rsid w:val="005D488A"/>
    <w:rsid w:val="005D4D24"/>
    <w:rsid w:val="005D5580"/>
    <w:rsid w:val="005D5F9B"/>
    <w:rsid w:val="005D65B8"/>
    <w:rsid w:val="005D7136"/>
    <w:rsid w:val="005D731F"/>
    <w:rsid w:val="005D73C3"/>
    <w:rsid w:val="005D7AA6"/>
    <w:rsid w:val="005E0AAE"/>
    <w:rsid w:val="005E110F"/>
    <w:rsid w:val="005E11E0"/>
    <w:rsid w:val="005E13E2"/>
    <w:rsid w:val="005E1FA9"/>
    <w:rsid w:val="005E1FED"/>
    <w:rsid w:val="005E28F7"/>
    <w:rsid w:val="005E2BC6"/>
    <w:rsid w:val="005E4428"/>
    <w:rsid w:val="005E45EB"/>
    <w:rsid w:val="005E5252"/>
    <w:rsid w:val="005E543E"/>
    <w:rsid w:val="005E5ED4"/>
    <w:rsid w:val="005E5ED8"/>
    <w:rsid w:val="005E634C"/>
    <w:rsid w:val="005E6DD7"/>
    <w:rsid w:val="005E71AA"/>
    <w:rsid w:val="005E7A7A"/>
    <w:rsid w:val="005F0510"/>
    <w:rsid w:val="005F32F1"/>
    <w:rsid w:val="005F47A7"/>
    <w:rsid w:val="005F4E7E"/>
    <w:rsid w:val="005F4F86"/>
    <w:rsid w:val="005F57C6"/>
    <w:rsid w:val="005F595A"/>
    <w:rsid w:val="005F6069"/>
    <w:rsid w:val="005F6B0D"/>
    <w:rsid w:val="005F6EB6"/>
    <w:rsid w:val="005F738E"/>
    <w:rsid w:val="005F7549"/>
    <w:rsid w:val="0060035C"/>
    <w:rsid w:val="00600E3D"/>
    <w:rsid w:val="00601049"/>
    <w:rsid w:val="006014B9"/>
    <w:rsid w:val="00601659"/>
    <w:rsid w:val="006026D7"/>
    <w:rsid w:val="0060595A"/>
    <w:rsid w:val="006073C8"/>
    <w:rsid w:val="00607A81"/>
    <w:rsid w:val="00607C05"/>
    <w:rsid w:val="00611CFD"/>
    <w:rsid w:val="00612198"/>
    <w:rsid w:val="00612D6B"/>
    <w:rsid w:val="00612E55"/>
    <w:rsid w:val="006134AD"/>
    <w:rsid w:val="00613B92"/>
    <w:rsid w:val="00614854"/>
    <w:rsid w:val="00614B54"/>
    <w:rsid w:val="00615113"/>
    <w:rsid w:val="0061646C"/>
    <w:rsid w:val="0062194F"/>
    <w:rsid w:val="00622F68"/>
    <w:rsid w:val="00623B28"/>
    <w:rsid w:val="00624710"/>
    <w:rsid w:val="00625689"/>
    <w:rsid w:val="00627138"/>
    <w:rsid w:val="006274D2"/>
    <w:rsid w:val="0062783D"/>
    <w:rsid w:val="00627955"/>
    <w:rsid w:val="00627B30"/>
    <w:rsid w:val="00631C0E"/>
    <w:rsid w:val="00631F36"/>
    <w:rsid w:val="00632E52"/>
    <w:rsid w:val="0063306F"/>
    <w:rsid w:val="006332AF"/>
    <w:rsid w:val="00633F9A"/>
    <w:rsid w:val="00634328"/>
    <w:rsid w:val="00635520"/>
    <w:rsid w:val="00635EDB"/>
    <w:rsid w:val="006370A1"/>
    <w:rsid w:val="006377DD"/>
    <w:rsid w:val="006407B0"/>
    <w:rsid w:val="00641B89"/>
    <w:rsid w:val="00641ECC"/>
    <w:rsid w:val="006440ED"/>
    <w:rsid w:val="006455BC"/>
    <w:rsid w:val="006456D1"/>
    <w:rsid w:val="0064637F"/>
    <w:rsid w:val="00647337"/>
    <w:rsid w:val="0064785E"/>
    <w:rsid w:val="006479C4"/>
    <w:rsid w:val="006517CE"/>
    <w:rsid w:val="006529B5"/>
    <w:rsid w:val="00652BAE"/>
    <w:rsid w:val="00653418"/>
    <w:rsid w:val="00654193"/>
    <w:rsid w:val="00655426"/>
    <w:rsid w:val="0065547D"/>
    <w:rsid w:val="00655A4A"/>
    <w:rsid w:val="00660DF7"/>
    <w:rsid w:val="00660FF3"/>
    <w:rsid w:val="00661078"/>
    <w:rsid w:val="00661098"/>
    <w:rsid w:val="006614FF"/>
    <w:rsid w:val="006632BF"/>
    <w:rsid w:val="00663CCB"/>
    <w:rsid w:val="006646D0"/>
    <w:rsid w:val="006652D2"/>
    <w:rsid w:val="006652F6"/>
    <w:rsid w:val="006657B8"/>
    <w:rsid w:val="00667FBD"/>
    <w:rsid w:val="00670344"/>
    <w:rsid w:val="006703A1"/>
    <w:rsid w:val="00671AD8"/>
    <w:rsid w:val="00672763"/>
    <w:rsid w:val="006732BD"/>
    <w:rsid w:val="006736C9"/>
    <w:rsid w:val="006736E1"/>
    <w:rsid w:val="00673AE6"/>
    <w:rsid w:val="00673F59"/>
    <w:rsid w:val="0067425B"/>
    <w:rsid w:val="00674384"/>
    <w:rsid w:val="00677B36"/>
    <w:rsid w:val="006808D1"/>
    <w:rsid w:val="0068094A"/>
    <w:rsid w:val="00682B25"/>
    <w:rsid w:val="00682C7B"/>
    <w:rsid w:val="00682EF8"/>
    <w:rsid w:val="006833D5"/>
    <w:rsid w:val="006844A8"/>
    <w:rsid w:val="006851DA"/>
    <w:rsid w:val="00687538"/>
    <w:rsid w:val="00690AD7"/>
    <w:rsid w:val="006916B7"/>
    <w:rsid w:val="00691788"/>
    <w:rsid w:val="00691AB6"/>
    <w:rsid w:val="006923AF"/>
    <w:rsid w:val="00692BDB"/>
    <w:rsid w:val="00693893"/>
    <w:rsid w:val="00694213"/>
    <w:rsid w:val="0069499E"/>
    <w:rsid w:val="00694C36"/>
    <w:rsid w:val="006951F9"/>
    <w:rsid w:val="00695358"/>
    <w:rsid w:val="00695B13"/>
    <w:rsid w:val="00697AE4"/>
    <w:rsid w:val="00697C8D"/>
    <w:rsid w:val="00697EA3"/>
    <w:rsid w:val="006A16CF"/>
    <w:rsid w:val="006A1FBC"/>
    <w:rsid w:val="006A2738"/>
    <w:rsid w:val="006A45DF"/>
    <w:rsid w:val="006A472B"/>
    <w:rsid w:val="006A4B60"/>
    <w:rsid w:val="006A5279"/>
    <w:rsid w:val="006A529C"/>
    <w:rsid w:val="006A535A"/>
    <w:rsid w:val="006A60B5"/>
    <w:rsid w:val="006A666F"/>
    <w:rsid w:val="006A7111"/>
    <w:rsid w:val="006A77E0"/>
    <w:rsid w:val="006B0FA0"/>
    <w:rsid w:val="006B1891"/>
    <w:rsid w:val="006B3D9B"/>
    <w:rsid w:val="006B417C"/>
    <w:rsid w:val="006B4B33"/>
    <w:rsid w:val="006B63B3"/>
    <w:rsid w:val="006B67EB"/>
    <w:rsid w:val="006B6F2A"/>
    <w:rsid w:val="006B6F89"/>
    <w:rsid w:val="006B6FE4"/>
    <w:rsid w:val="006B7FB7"/>
    <w:rsid w:val="006C1BB9"/>
    <w:rsid w:val="006C1C4F"/>
    <w:rsid w:val="006C1CB2"/>
    <w:rsid w:val="006C2E08"/>
    <w:rsid w:val="006C5EF6"/>
    <w:rsid w:val="006C65B5"/>
    <w:rsid w:val="006C6882"/>
    <w:rsid w:val="006C6A45"/>
    <w:rsid w:val="006D0DA5"/>
    <w:rsid w:val="006D1412"/>
    <w:rsid w:val="006D158E"/>
    <w:rsid w:val="006D19B5"/>
    <w:rsid w:val="006D31FD"/>
    <w:rsid w:val="006D3B2F"/>
    <w:rsid w:val="006D4817"/>
    <w:rsid w:val="006D512A"/>
    <w:rsid w:val="006D592B"/>
    <w:rsid w:val="006D59A6"/>
    <w:rsid w:val="006D5EE0"/>
    <w:rsid w:val="006D6898"/>
    <w:rsid w:val="006D6EB2"/>
    <w:rsid w:val="006D73F3"/>
    <w:rsid w:val="006E028D"/>
    <w:rsid w:val="006E124C"/>
    <w:rsid w:val="006E2B77"/>
    <w:rsid w:val="006E2C75"/>
    <w:rsid w:val="006E3171"/>
    <w:rsid w:val="006E39BE"/>
    <w:rsid w:val="006E4B6A"/>
    <w:rsid w:val="006E4EC4"/>
    <w:rsid w:val="006E5A19"/>
    <w:rsid w:val="006E6FDF"/>
    <w:rsid w:val="006F0235"/>
    <w:rsid w:val="006F0823"/>
    <w:rsid w:val="006F0DBA"/>
    <w:rsid w:val="006F1536"/>
    <w:rsid w:val="006F23F2"/>
    <w:rsid w:val="006F2948"/>
    <w:rsid w:val="006F2C2E"/>
    <w:rsid w:val="006F334A"/>
    <w:rsid w:val="006F3547"/>
    <w:rsid w:val="006F3A13"/>
    <w:rsid w:val="006F4828"/>
    <w:rsid w:val="006F618E"/>
    <w:rsid w:val="006F61EA"/>
    <w:rsid w:val="006F6599"/>
    <w:rsid w:val="006F66F2"/>
    <w:rsid w:val="006F7F1D"/>
    <w:rsid w:val="00700145"/>
    <w:rsid w:val="00700E7E"/>
    <w:rsid w:val="00701B06"/>
    <w:rsid w:val="00702930"/>
    <w:rsid w:val="00705242"/>
    <w:rsid w:val="007060EA"/>
    <w:rsid w:val="007064A1"/>
    <w:rsid w:val="0070654C"/>
    <w:rsid w:val="00707448"/>
    <w:rsid w:val="0071192A"/>
    <w:rsid w:val="00712B7C"/>
    <w:rsid w:val="00713492"/>
    <w:rsid w:val="00714161"/>
    <w:rsid w:val="0071425F"/>
    <w:rsid w:val="007142BB"/>
    <w:rsid w:val="00714AB9"/>
    <w:rsid w:val="00714E06"/>
    <w:rsid w:val="00715458"/>
    <w:rsid w:val="007164DF"/>
    <w:rsid w:val="0071675A"/>
    <w:rsid w:val="00716D37"/>
    <w:rsid w:val="00716E5A"/>
    <w:rsid w:val="007176AA"/>
    <w:rsid w:val="007200BA"/>
    <w:rsid w:val="0072036E"/>
    <w:rsid w:val="00721147"/>
    <w:rsid w:val="007220E2"/>
    <w:rsid w:val="007222D4"/>
    <w:rsid w:val="00722EA1"/>
    <w:rsid w:val="00723388"/>
    <w:rsid w:val="00724405"/>
    <w:rsid w:val="007245DB"/>
    <w:rsid w:val="00725850"/>
    <w:rsid w:val="007258B9"/>
    <w:rsid w:val="0072694C"/>
    <w:rsid w:val="00726A4B"/>
    <w:rsid w:val="00726DCA"/>
    <w:rsid w:val="00730897"/>
    <w:rsid w:val="00730CDF"/>
    <w:rsid w:val="00731B99"/>
    <w:rsid w:val="0073369B"/>
    <w:rsid w:val="00735856"/>
    <w:rsid w:val="0073673C"/>
    <w:rsid w:val="00736E56"/>
    <w:rsid w:val="007372CA"/>
    <w:rsid w:val="00737A4B"/>
    <w:rsid w:val="00741C2B"/>
    <w:rsid w:val="00741C6D"/>
    <w:rsid w:val="00742943"/>
    <w:rsid w:val="00743B39"/>
    <w:rsid w:val="00745A1E"/>
    <w:rsid w:val="007472C6"/>
    <w:rsid w:val="00747CD9"/>
    <w:rsid w:val="007503F3"/>
    <w:rsid w:val="00752871"/>
    <w:rsid w:val="00752A3E"/>
    <w:rsid w:val="00753852"/>
    <w:rsid w:val="00755D9E"/>
    <w:rsid w:val="00756369"/>
    <w:rsid w:val="00757164"/>
    <w:rsid w:val="00757964"/>
    <w:rsid w:val="007579D8"/>
    <w:rsid w:val="00760FEF"/>
    <w:rsid w:val="007615A8"/>
    <w:rsid w:val="0076252F"/>
    <w:rsid w:val="007638E3"/>
    <w:rsid w:val="00763C26"/>
    <w:rsid w:val="00763EC2"/>
    <w:rsid w:val="00764DF3"/>
    <w:rsid w:val="00765009"/>
    <w:rsid w:val="007655D2"/>
    <w:rsid w:val="007658B9"/>
    <w:rsid w:val="00767974"/>
    <w:rsid w:val="007733D9"/>
    <w:rsid w:val="00773E0C"/>
    <w:rsid w:val="00775489"/>
    <w:rsid w:val="00775BFE"/>
    <w:rsid w:val="007770C9"/>
    <w:rsid w:val="00777E3F"/>
    <w:rsid w:val="00780024"/>
    <w:rsid w:val="00780CCD"/>
    <w:rsid w:val="00780D82"/>
    <w:rsid w:val="00780F16"/>
    <w:rsid w:val="007823DB"/>
    <w:rsid w:val="007838E4"/>
    <w:rsid w:val="007839E4"/>
    <w:rsid w:val="00783D71"/>
    <w:rsid w:val="007846D2"/>
    <w:rsid w:val="00785076"/>
    <w:rsid w:val="0078534E"/>
    <w:rsid w:val="00787139"/>
    <w:rsid w:val="0078744C"/>
    <w:rsid w:val="00791CB2"/>
    <w:rsid w:val="00791D9A"/>
    <w:rsid w:val="007923D6"/>
    <w:rsid w:val="00792D65"/>
    <w:rsid w:val="00793ACC"/>
    <w:rsid w:val="00793E39"/>
    <w:rsid w:val="00794CEC"/>
    <w:rsid w:val="007956AB"/>
    <w:rsid w:val="00795E34"/>
    <w:rsid w:val="00796A51"/>
    <w:rsid w:val="00796F0C"/>
    <w:rsid w:val="007978FA"/>
    <w:rsid w:val="007A0624"/>
    <w:rsid w:val="007A0A31"/>
    <w:rsid w:val="007A0C7F"/>
    <w:rsid w:val="007A2A58"/>
    <w:rsid w:val="007A2BFA"/>
    <w:rsid w:val="007A30A0"/>
    <w:rsid w:val="007A3B65"/>
    <w:rsid w:val="007A3C96"/>
    <w:rsid w:val="007A3DBB"/>
    <w:rsid w:val="007A6892"/>
    <w:rsid w:val="007A7414"/>
    <w:rsid w:val="007A7461"/>
    <w:rsid w:val="007B0646"/>
    <w:rsid w:val="007B116B"/>
    <w:rsid w:val="007B1F9D"/>
    <w:rsid w:val="007B23A4"/>
    <w:rsid w:val="007B33FD"/>
    <w:rsid w:val="007B35B8"/>
    <w:rsid w:val="007B390A"/>
    <w:rsid w:val="007B3B9D"/>
    <w:rsid w:val="007B3DCD"/>
    <w:rsid w:val="007B4260"/>
    <w:rsid w:val="007B4755"/>
    <w:rsid w:val="007B4E97"/>
    <w:rsid w:val="007B53D3"/>
    <w:rsid w:val="007B54DB"/>
    <w:rsid w:val="007B738A"/>
    <w:rsid w:val="007B7575"/>
    <w:rsid w:val="007C0710"/>
    <w:rsid w:val="007C1967"/>
    <w:rsid w:val="007C1F63"/>
    <w:rsid w:val="007C1F87"/>
    <w:rsid w:val="007C3A82"/>
    <w:rsid w:val="007C40B3"/>
    <w:rsid w:val="007C4965"/>
    <w:rsid w:val="007C5F8E"/>
    <w:rsid w:val="007C6307"/>
    <w:rsid w:val="007C6BAC"/>
    <w:rsid w:val="007C77AE"/>
    <w:rsid w:val="007C7FD2"/>
    <w:rsid w:val="007D116B"/>
    <w:rsid w:val="007D1392"/>
    <w:rsid w:val="007D30D1"/>
    <w:rsid w:val="007D3753"/>
    <w:rsid w:val="007D39BD"/>
    <w:rsid w:val="007D3AFA"/>
    <w:rsid w:val="007D47C9"/>
    <w:rsid w:val="007D4853"/>
    <w:rsid w:val="007D5126"/>
    <w:rsid w:val="007D60EC"/>
    <w:rsid w:val="007D643D"/>
    <w:rsid w:val="007D70F0"/>
    <w:rsid w:val="007D7CFB"/>
    <w:rsid w:val="007E00F4"/>
    <w:rsid w:val="007E06CF"/>
    <w:rsid w:val="007E31D2"/>
    <w:rsid w:val="007E3302"/>
    <w:rsid w:val="007E3F09"/>
    <w:rsid w:val="007E43E5"/>
    <w:rsid w:val="007E460C"/>
    <w:rsid w:val="007E460F"/>
    <w:rsid w:val="007E6FFC"/>
    <w:rsid w:val="007E7EF8"/>
    <w:rsid w:val="007F028E"/>
    <w:rsid w:val="007F0F3E"/>
    <w:rsid w:val="007F2DB3"/>
    <w:rsid w:val="007F320F"/>
    <w:rsid w:val="007F3A44"/>
    <w:rsid w:val="007F444C"/>
    <w:rsid w:val="007F5079"/>
    <w:rsid w:val="007F6049"/>
    <w:rsid w:val="007F7092"/>
    <w:rsid w:val="007F72D3"/>
    <w:rsid w:val="007F7E91"/>
    <w:rsid w:val="00801336"/>
    <w:rsid w:val="00801A59"/>
    <w:rsid w:val="00801BFB"/>
    <w:rsid w:val="00801DEF"/>
    <w:rsid w:val="00803C56"/>
    <w:rsid w:val="00804DB1"/>
    <w:rsid w:val="008060D6"/>
    <w:rsid w:val="00806A4A"/>
    <w:rsid w:val="0080755E"/>
    <w:rsid w:val="00807E30"/>
    <w:rsid w:val="00810D6D"/>
    <w:rsid w:val="00811288"/>
    <w:rsid w:val="0081380C"/>
    <w:rsid w:val="00815707"/>
    <w:rsid w:val="0081695D"/>
    <w:rsid w:val="008201E9"/>
    <w:rsid w:val="008202BC"/>
    <w:rsid w:val="00820A3F"/>
    <w:rsid w:val="00820BD7"/>
    <w:rsid w:val="008216E7"/>
    <w:rsid w:val="008233D8"/>
    <w:rsid w:val="00823629"/>
    <w:rsid w:val="00823735"/>
    <w:rsid w:val="00823C0A"/>
    <w:rsid w:val="0082536B"/>
    <w:rsid w:val="00825435"/>
    <w:rsid w:val="00826DBA"/>
    <w:rsid w:val="008273AB"/>
    <w:rsid w:val="00830797"/>
    <w:rsid w:val="00832FFD"/>
    <w:rsid w:val="00833832"/>
    <w:rsid w:val="008339FF"/>
    <w:rsid w:val="0083414A"/>
    <w:rsid w:val="00834CAB"/>
    <w:rsid w:val="008364E4"/>
    <w:rsid w:val="008376E4"/>
    <w:rsid w:val="00837966"/>
    <w:rsid w:val="00837D9D"/>
    <w:rsid w:val="0084078A"/>
    <w:rsid w:val="008415EE"/>
    <w:rsid w:val="00842642"/>
    <w:rsid w:val="0084272E"/>
    <w:rsid w:val="00844E4C"/>
    <w:rsid w:val="00846B2D"/>
    <w:rsid w:val="00850A14"/>
    <w:rsid w:val="00851F67"/>
    <w:rsid w:val="0085395A"/>
    <w:rsid w:val="008612E5"/>
    <w:rsid w:val="00861366"/>
    <w:rsid w:val="008617C0"/>
    <w:rsid w:val="00861EC0"/>
    <w:rsid w:val="008627B2"/>
    <w:rsid w:val="0086294F"/>
    <w:rsid w:val="00863204"/>
    <w:rsid w:val="008648DF"/>
    <w:rsid w:val="00865334"/>
    <w:rsid w:val="0086555F"/>
    <w:rsid w:val="00865CC2"/>
    <w:rsid w:val="00867098"/>
    <w:rsid w:val="00867B63"/>
    <w:rsid w:val="008704C6"/>
    <w:rsid w:val="008705D1"/>
    <w:rsid w:val="008708CD"/>
    <w:rsid w:val="008714C0"/>
    <w:rsid w:val="008716CA"/>
    <w:rsid w:val="00872BDE"/>
    <w:rsid w:val="00874108"/>
    <w:rsid w:val="00877204"/>
    <w:rsid w:val="00877478"/>
    <w:rsid w:val="00877C6C"/>
    <w:rsid w:val="008803A0"/>
    <w:rsid w:val="008809ED"/>
    <w:rsid w:val="00880DDE"/>
    <w:rsid w:val="0088121F"/>
    <w:rsid w:val="00881F15"/>
    <w:rsid w:val="00882321"/>
    <w:rsid w:val="00883591"/>
    <w:rsid w:val="008837AA"/>
    <w:rsid w:val="00885668"/>
    <w:rsid w:val="008856A9"/>
    <w:rsid w:val="00885C36"/>
    <w:rsid w:val="008861DD"/>
    <w:rsid w:val="00886E86"/>
    <w:rsid w:val="008905F5"/>
    <w:rsid w:val="008907D7"/>
    <w:rsid w:val="008912C0"/>
    <w:rsid w:val="00891CC0"/>
    <w:rsid w:val="008922D0"/>
    <w:rsid w:val="0089246C"/>
    <w:rsid w:val="008940C9"/>
    <w:rsid w:val="0089479D"/>
    <w:rsid w:val="00894F90"/>
    <w:rsid w:val="0089676F"/>
    <w:rsid w:val="008A10B1"/>
    <w:rsid w:val="008A1EEA"/>
    <w:rsid w:val="008A2BF8"/>
    <w:rsid w:val="008A3267"/>
    <w:rsid w:val="008A32EC"/>
    <w:rsid w:val="008A3851"/>
    <w:rsid w:val="008A4DAB"/>
    <w:rsid w:val="008A6BC3"/>
    <w:rsid w:val="008A6ED3"/>
    <w:rsid w:val="008B0851"/>
    <w:rsid w:val="008B18A5"/>
    <w:rsid w:val="008B3C19"/>
    <w:rsid w:val="008B467F"/>
    <w:rsid w:val="008B4794"/>
    <w:rsid w:val="008B4C50"/>
    <w:rsid w:val="008B4F0F"/>
    <w:rsid w:val="008B5C63"/>
    <w:rsid w:val="008B6BB9"/>
    <w:rsid w:val="008B70CF"/>
    <w:rsid w:val="008B786C"/>
    <w:rsid w:val="008B7AFC"/>
    <w:rsid w:val="008C09ED"/>
    <w:rsid w:val="008C261A"/>
    <w:rsid w:val="008C2911"/>
    <w:rsid w:val="008C2936"/>
    <w:rsid w:val="008C3C56"/>
    <w:rsid w:val="008C4ABE"/>
    <w:rsid w:val="008C5155"/>
    <w:rsid w:val="008C5F9C"/>
    <w:rsid w:val="008C7102"/>
    <w:rsid w:val="008C71D7"/>
    <w:rsid w:val="008C7BA3"/>
    <w:rsid w:val="008C7D37"/>
    <w:rsid w:val="008D0B28"/>
    <w:rsid w:val="008D1798"/>
    <w:rsid w:val="008D2305"/>
    <w:rsid w:val="008D293A"/>
    <w:rsid w:val="008D31A7"/>
    <w:rsid w:val="008D3BD5"/>
    <w:rsid w:val="008D50BE"/>
    <w:rsid w:val="008D5793"/>
    <w:rsid w:val="008D5C3C"/>
    <w:rsid w:val="008D6813"/>
    <w:rsid w:val="008D6829"/>
    <w:rsid w:val="008D7123"/>
    <w:rsid w:val="008D7174"/>
    <w:rsid w:val="008D7447"/>
    <w:rsid w:val="008D78EC"/>
    <w:rsid w:val="008E0238"/>
    <w:rsid w:val="008E039B"/>
    <w:rsid w:val="008E091B"/>
    <w:rsid w:val="008E19BE"/>
    <w:rsid w:val="008E1B3C"/>
    <w:rsid w:val="008E2504"/>
    <w:rsid w:val="008E377A"/>
    <w:rsid w:val="008E4142"/>
    <w:rsid w:val="008E561B"/>
    <w:rsid w:val="008E5CAC"/>
    <w:rsid w:val="008E6D4A"/>
    <w:rsid w:val="008E7CA5"/>
    <w:rsid w:val="008F03CC"/>
    <w:rsid w:val="008F290F"/>
    <w:rsid w:val="008F2E71"/>
    <w:rsid w:val="008F2FDB"/>
    <w:rsid w:val="008F44B1"/>
    <w:rsid w:val="008F4C8A"/>
    <w:rsid w:val="008F5B56"/>
    <w:rsid w:val="008F6042"/>
    <w:rsid w:val="008F77DB"/>
    <w:rsid w:val="009004FA"/>
    <w:rsid w:val="00902406"/>
    <w:rsid w:val="0090251B"/>
    <w:rsid w:val="009025F5"/>
    <w:rsid w:val="00902F1E"/>
    <w:rsid w:val="00903883"/>
    <w:rsid w:val="009043F9"/>
    <w:rsid w:val="00905276"/>
    <w:rsid w:val="00906813"/>
    <w:rsid w:val="00906B87"/>
    <w:rsid w:val="00907516"/>
    <w:rsid w:val="00907CDC"/>
    <w:rsid w:val="009109C6"/>
    <w:rsid w:val="00911046"/>
    <w:rsid w:val="00911DAF"/>
    <w:rsid w:val="009125C7"/>
    <w:rsid w:val="00912721"/>
    <w:rsid w:val="00912B94"/>
    <w:rsid w:val="009152C7"/>
    <w:rsid w:val="00925268"/>
    <w:rsid w:val="00927A1E"/>
    <w:rsid w:val="00930581"/>
    <w:rsid w:val="009306CE"/>
    <w:rsid w:val="00931B82"/>
    <w:rsid w:val="00932352"/>
    <w:rsid w:val="0093449C"/>
    <w:rsid w:val="00935EC3"/>
    <w:rsid w:val="0093754C"/>
    <w:rsid w:val="00937D30"/>
    <w:rsid w:val="00937F81"/>
    <w:rsid w:val="0094152B"/>
    <w:rsid w:val="00942AB1"/>
    <w:rsid w:val="00945837"/>
    <w:rsid w:val="00945D22"/>
    <w:rsid w:val="009466BE"/>
    <w:rsid w:val="00950198"/>
    <w:rsid w:val="00950209"/>
    <w:rsid w:val="009512F8"/>
    <w:rsid w:val="009521DE"/>
    <w:rsid w:val="0095272D"/>
    <w:rsid w:val="00953EA1"/>
    <w:rsid w:val="009540A6"/>
    <w:rsid w:val="009544D1"/>
    <w:rsid w:val="0095536A"/>
    <w:rsid w:val="00955BD0"/>
    <w:rsid w:val="00956821"/>
    <w:rsid w:val="00957333"/>
    <w:rsid w:val="0095779E"/>
    <w:rsid w:val="00957F10"/>
    <w:rsid w:val="0096080D"/>
    <w:rsid w:val="00961944"/>
    <w:rsid w:val="009623AA"/>
    <w:rsid w:val="00962457"/>
    <w:rsid w:val="00962565"/>
    <w:rsid w:val="00962EFD"/>
    <w:rsid w:val="00963876"/>
    <w:rsid w:val="00963E7B"/>
    <w:rsid w:val="0096422D"/>
    <w:rsid w:val="0096477A"/>
    <w:rsid w:val="00964ECF"/>
    <w:rsid w:val="009658F6"/>
    <w:rsid w:val="00966F79"/>
    <w:rsid w:val="009674CF"/>
    <w:rsid w:val="00972550"/>
    <w:rsid w:val="00972FDA"/>
    <w:rsid w:val="00973EFA"/>
    <w:rsid w:val="0097452F"/>
    <w:rsid w:val="00974555"/>
    <w:rsid w:val="00974F43"/>
    <w:rsid w:val="00975108"/>
    <w:rsid w:val="00975666"/>
    <w:rsid w:val="00976678"/>
    <w:rsid w:val="00977114"/>
    <w:rsid w:val="009774FF"/>
    <w:rsid w:val="00977C82"/>
    <w:rsid w:val="0098131B"/>
    <w:rsid w:val="00981E99"/>
    <w:rsid w:val="0098338F"/>
    <w:rsid w:val="00983565"/>
    <w:rsid w:val="0098365D"/>
    <w:rsid w:val="00983B8B"/>
    <w:rsid w:val="00986526"/>
    <w:rsid w:val="00990114"/>
    <w:rsid w:val="009911EA"/>
    <w:rsid w:val="00994826"/>
    <w:rsid w:val="00995EF1"/>
    <w:rsid w:val="009960F8"/>
    <w:rsid w:val="009A0788"/>
    <w:rsid w:val="009A0F11"/>
    <w:rsid w:val="009A0F6E"/>
    <w:rsid w:val="009A22BF"/>
    <w:rsid w:val="009A33E9"/>
    <w:rsid w:val="009A4AD8"/>
    <w:rsid w:val="009A4EED"/>
    <w:rsid w:val="009A5A24"/>
    <w:rsid w:val="009A65D3"/>
    <w:rsid w:val="009A72FF"/>
    <w:rsid w:val="009A7927"/>
    <w:rsid w:val="009B0824"/>
    <w:rsid w:val="009B16A6"/>
    <w:rsid w:val="009B188B"/>
    <w:rsid w:val="009B2479"/>
    <w:rsid w:val="009B343C"/>
    <w:rsid w:val="009B44BF"/>
    <w:rsid w:val="009B5A09"/>
    <w:rsid w:val="009B5FFE"/>
    <w:rsid w:val="009B6528"/>
    <w:rsid w:val="009B78E3"/>
    <w:rsid w:val="009B7B21"/>
    <w:rsid w:val="009C0171"/>
    <w:rsid w:val="009C225A"/>
    <w:rsid w:val="009C2516"/>
    <w:rsid w:val="009C26B5"/>
    <w:rsid w:val="009C33E6"/>
    <w:rsid w:val="009C4B9A"/>
    <w:rsid w:val="009C5B84"/>
    <w:rsid w:val="009C6915"/>
    <w:rsid w:val="009C694E"/>
    <w:rsid w:val="009C70BE"/>
    <w:rsid w:val="009C7DFE"/>
    <w:rsid w:val="009C7F60"/>
    <w:rsid w:val="009D04F3"/>
    <w:rsid w:val="009D1394"/>
    <w:rsid w:val="009D1E40"/>
    <w:rsid w:val="009D2460"/>
    <w:rsid w:val="009D543C"/>
    <w:rsid w:val="009D5CE9"/>
    <w:rsid w:val="009D615B"/>
    <w:rsid w:val="009D6380"/>
    <w:rsid w:val="009D6FCD"/>
    <w:rsid w:val="009D7CF8"/>
    <w:rsid w:val="009E0B2F"/>
    <w:rsid w:val="009E176C"/>
    <w:rsid w:val="009E21EA"/>
    <w:rsid w:val="009E2327"/>
    <w:rsid w:val="009E276C"/>
    <w:rsid w:val="009E432B"/>
    <w:rsid w:val="009E63E5"/>
    <w:rsid w:val="009E6612"/>
    <w:rsid w:val="009E7393"/>
    <w:rsid w:val="009E7F3A"/>
    <w:rsid w:val="009F0022"/>
    <w:rsid w:val="009F1858"/>
    <w:rsid w:val="009F1927"/>
    <w:rsid w:val="009F1997"/>
    <w:rsid w:val="009F1EAE"/>
    <w:rsid w:val="009F212D"/>
    <w:rsid w:val="009F280E"/>
    <w:rsid w:val="009F2C77"/>
    <w:rsid w:val="009F31CC"/>
    <w:rsid w:val="009F4B38"/>
    <w:rsid w:val="009F5683"/>
    <w:rsid w:val="009F593A"/>
    <w:rsid w:val="009F787B"/>
    <w:rsid w:val="009F7DBF"/>
    <w:rsid w:val="00A00D8F"/>
    <w:rsid w:val="00A011AE"/>
    <w:rsid w:val="00A01A78"/>
    <w:rsid w:val="00A01C22"/>
    <w:rsid w:val="00A022AA"/>
    <w:rsid w:val="00A03CA6"/>
    <w:rsid w:val="00A06591"/>
    <w:rsid w:val="00A069A0"/>
    <w:rsid w:val="00A10A28"/>
    <w:rsid w:val="00A117A7"/>
    <w:rsid w:val="00A11C84"/>
    <w:rsid w:val="00A124D2"/>
    <w:rsid w:val="00A20B13"/>
    <w:rsid w:val="00A2130D"/>
    <w:rsid w:val="00A21612"/>
    <w:rsid w:val="00A21A11"/>
    <w:rsid w:val="00A21A21"/>
    <w:rsid w:val="00A21FCA"/>
    <w:rsid w:val="00A233CD"/>
    <w:rsid w:val="00A234CA"/>
    <w:rsid w:val="00A23D52"/>
    <w:rsid w:val="00A30DC0"/>
    <w:rsid w:val="00A319C8"/>
    <w:rsid w:val="00A3378E"/>
    <w:rsid w:val="00A337E9"/>
    <w:rsid w:val="00A33F52"/>
    <w:rsid w:val="00A357FF"/>
    <w:rsid w:val="00A37FC9"/>
    <w:rsid w:val="00A404AF"/>
    <w:rsid w:val="00A410A9"/>
    <w:rsid w:val="00A419F0"/>
    <w:rsid w:val="00A41B78"/>
    <w:rsid w:val="00A42A5C"/>
    <w:rsid w:val="00A42EFE"/>
    <w:rsid w:val="00A44631"/>
    <w:rsid w:val="00A4490A"/>
    <w:rsid w:val="00A4501D"/>
    <w:rsid w:val="00A458DA"/>
    <w:rsid w:val="00A459F1"/>
    <w:rsid w:val="00A467CA"/>
    <w:rsid w:val="00A470FA"/>
    <w:rsid w:val="00A475B2"/>
    <w:rsid w:val="00A47D7D"/>
    <w:rsid w:val="00A517F7"/>
    <w:rsid w:val="00A534E7"/>
    <w:rsid w:val="00A53BBC"/>
    <w:rsid w:val="00A540FE"/>
    <w:rsid w:val="00A554A2"/>
    <w:rsid w:val="00A55996"/>
    <w:rsid w:val="00A55B52"/>
    <w:rsid w:val="00A55E77"/>
    <w:rsid w:val="00A574CC"/>
    <w:rsid w:val="00A5799C"/>
    <w:rsid w:val="00A61B15"/>
    <w:rsid w:val="00A6453B"/>
    <w:rsid w:val="00A659CC"/>
    <w:rsid w:val="00A6677B"/>
    <w:rsid w:val="00A66A8C"/>
    <w:rsid w:val="00A675C7"/>
    <w:rsid w:val="00A70F71"/>
    <w:rsid w:val="00A715C6"/>
    <w:rsid w:val="00A71AC9"/>
    <w:rsid w:val="00A74376"/>
    <w:rsid w:val="00A746D1"/>
    <w:rsid w:val="00A74724"/>
    <w:rsid w:val="00A74AC6"/>
    <w:rsid w:val="00A76091"/>
    <w:rsid w:val="00A76381"/>
    <w:rsid w:val="00A766C8"/>
    <w:rsid w:val="00A777C0"/>
    <w:rsid w:val="00A77E3A"/>
    <w:rsid w:val="00A818EF"/>
    <w:rsid w:val="00A82319"/>
    <w:rsid w:val="00A82B93"/>
    <w:rsid w:val="00A82D42"/>
    <w:rsid w:val="00A82F4C"/>
    <w:rsid w:val="00A83EEA"/>
    <w:rsid w:val="00A84A67"/>
    <w:rsid w:val="00A85B2B"/>
    <w:rsid w:val="00A87141"/>
    <w:rsid w:val="00A87BFE"/>
    <w:rsid w:val="00A904F2"/>
    <w:rsid w:val="00A90AD8"/>
    <w:rsid w:val="00A91561"/>
    <w:rsid w:val="00A91D53"/>
    <w:rsid w:val="00A93F12"/>
    <w:rsid w:val="00A9444B"/>
    <w:rsid w:val="00A95AF2"/>
    <w:rsid w:val="00A965DE"/>
    <w:rsid w:val="00A969BB"/>
    <w:rsid w:val="00A96F4A"/>
    <w:rsid w:val="00A97580"/>
    <w:rsid w:val="00A9799E"/>
    <w:rsid w:val="00A97C8B"/>
    <w:rsid w:val="00AA084F"/>
    <w:rsid w:val="00AA1A78"/>
    <w:rsid w:val="00AA1D96"/>
    <w:rsid w:val="00AA2F3D"/>
    <w:rsid w:val="00AA477D"/>
    <w:rsid w:val="00AA5110"/>
    <w:rsid w:val="00AA5DC6"/>
    <w:rsid w:val="00AA7693"/>
    <w:rsid w:val="00AB05CA"/>
    <w:rsid w:val="00AB126F"/>
    <w:rsid w:val="00AB29EF"/>
    <w:rsid w:val="00AB2DFF"/>
    <w:rsid w:val="00AB471E"/>
    <w:rsid w:val="00AB5719"/>
    <w:rsid w:val="00AB5FDE"/>
    <w:rsid w:val="00AB6374"/>
    <w:rsid w:val="00AB7D60"/>
    <w:rsid w:val="00AC0269"/>
    <w:rsid w:val="00AC03D1"/>
    <w:rsid w:val="00AC20FE"/>
    <w:rsid w:val="00AC211F"/>
    <w:rsid w:val="00AC2152"/>
    <w:rsid w:val="00AC2369"/>
    <w:rsid w:val="00AC295A"/>
    <w:rsid w:val="00AC39B4"/>
    <w:rsid w:val="00AC489B"/>
    <w:rsid w:val="00AC527C"/>
    <w:rsid w:val="00AC56BA"/>
    <w:rsid w:val="00AC578E"/>
    <w:rsid w:val="00AC604E"/>
    <w:rsid w:val="00AC65F9"/>
    <w:rsid w:val="00AC6ACE"/>
    <w:rsid w:val="00AC7703"/>
    <w:rsid w:val="00AC7D83"/>
    <w:rsid w:val="00AD0961"/>
    <w:rsid w:val="00AD0988"/>
    <w:rsid w:val="00AD0B06"/>
    <w:rsid w:val="00AD0E40"/>
    <w:rsid w:val="00AD0F44"/>
    <w:rsid w:val="00AD1B79"/>
    <w:rsid w:val="00AD3A0B"/>
    <w:rsid w:val="00AD4A9E"/>
    <w:rsid w:val="00AD5A56"/>
    <w:rsid w:val="00AD621C"/>
    <w:rsid w:val="00AD6E04"/>
    <w:rsid w:val="00AE01D2"/>
    <w:rsid w:val="00AE1765"/>
    <w:rsid w:val="00AE5BB4"/>
    <w:rsid w:val="00AE6177"/>
    <w:rsid w:val="00AE7EAB"/>
    <w:rsid w:val="00AF2292"/>
    <w:rsid w:val="00AF24C1"/>
    <w:rsid w:val="00AF2987"/>
    <w:rsid w:val="00AF2AC5"/>
    <w:rsid w:val="00AF3701"/>
    <w:rsid w:val="00AF40B3"/>
    <w:rsid w:val="00AF65D5"/>
    <w:rsid w:val="00AF72E5"/>
    <w:rsid w:val="00AF7A0A"/>
    <w:rsid w:val="00B00485"/>
    <w:rsid w:val="00B00A24"/>
    <w:rsid w:val="00B0143A"/>
    <w:rsid w:val="00B01F4B"/>
    <w:rsid w:val="00B05163"/>
    <w:rsid w:val="00B055C9"/>
    <w:rsid w:val="00B05F5B"/>
    <w:rsid w:val="00B10113"/>
    <w:rsid w:val="00B1166F"/>
    <w:rsid w:val="00B12057"/>
    <w:rsid w:val="00B123E0"/>
    <w:rsid w:val="00B12AC5"/>
    <w:rsid w:val="00B13175"/>
    <w:rsid w:val="00B166CC"/>
    <w:rsid w:val="00B17D05"/>
    <w:rsid w:val="00B20152"/>
    <w:rsid w:val="00B21813"/>
    <w:rsid w:val="00B23D55"/>
    <w:rsid w:val="00B242D9"/>
    <w:rsid w:val="00B24B94"/>
    <w:rsid w:val="00B25B94"/>
    <w:rsid w:val="00B275E5"/>
    <w:rsid w:val="00B276B8"/>
    <w:rsid w:val="00B3047C"/>
    <w:rsid w:val="00B30D05"/>
    <w:rsid w:val="00B31C3E"/>
    <w:rsid w:val="00B31D52"/>
    <w:rsid w:val="00B321E3"/>
    <w:rsid w:val="00B32E5F"/>
    <w:rsid w:val="00B33939"/>
    <w:rsid w:val="00B33B56"/>
    <w:rsid w:val="00B3525B"/>
    <w:rsid w:val="00B35FD0"/>
    <w:rsid w:val="00B36BC3"/>
    <w:rsid w:val="00B37460"/>
    <w:rsid w:val="00B40C63"/>
    <w:rsid w:val="00B40F91"/>
    <w:rsid w:val="00B42CA8"/>
    <w:rsid w:val="00B434D4"/>
    <w:rsid w:val="00B46AF2"/>
    <w:rsid w:val="00B4734D"/>
    <w:rsid w:val="00B507D9"/>
    <w:rsid w:val="00B50ADE"/>
    <w:rsid w:val="00B512C6"/>
    <w:rsid w:val="00B515D7"/>
    <w:rsid w:val="00B53546"/>
    <w:rsid w:val="00B5389F"/>
    <w:rsid w:val="00B544F7"/>
    <w:rsid w:val="00B54D09"/>
    <w:rsid w:val="00B54D79"/>
    <w:rsid w:val="00B55423"/>
    <w:rsid w:val="00B55F5E"/>
    <w:rsid w:val="00B560E1"/>
    <w:rsid w:val="00B56469"/>
    <w:rsid w:val="00B56795"/>
    <w:rsid w:val="00B57362"/>
    <w:rsid w:val="00B61C8B"/>
    <w:rsid w:val="00B6243E"/>
    <w:rsid w:val="00B624A2"/>
    <w:rsid w:val="00B62EC3"/>
    <w:rsid w:val="00B63529"/>
    <w:rsid w:val="00B63662"/>
    <w:rsid w:val="00B64BCA"/>
    <w:rsid w:val="00B65095"/>
    <w:rsid w:val="00B65798"/>
    <w:rsid w:val="00B6686D"/>
    <w:rsid w:val="00B7005B"/>
    <w:rsid w:val="00B7058A"/>
    <w:rsid w:val="00B73130"/>
    <w:rsid w:val="00B752B6"/>
    <w:rsid w:val="00B757AB"/>
    <w:rsid w:val="00B75F21"/>
    <w:rsid w:val="00B76CA4"/>
    <w:rsid w:val="00B7748B"/>
    <w:rsid w:val="00B7759D"/>
    <w:rsid w:val="00B77C27"/>
    <w:rsid w:val="00B825B4"/>
    <w:rsid w:val="00B82D61"/>
    <w:rsid w:val="00B82E23"/>
    <w:rsid w:val="00B83CAE"/>
    <w:rsid w:val="00B8477E"/>
    <w:rsid w:val="00B84C2D"/>
    <w:rsid w:val="00B851E9"/>
    <w:rsid w:val="00B85351"/>
    <w:rsid w:val="00B855A3"/>
    <w:rsid w:val="00B85652"/>
    <w:rsid w:val="00B85673"/>
    <w:rsid w:val="00B8685C"/>
    <w:rsid w:val="00B86D88"/>
    <w:rsid w:val="00B877F1"/>
    <w:rsid w:val="00B903A5"/>
    <w:rsid w:val="00B910A2"/>
    <w:rsid w:val="00B928A1"/>
    <w:rsid w:val="00B93241"/>
    <w:rsid w:val="00B93912"/>
    <w:rsid w:val="00B94771"/>
    <w:rsid w:val="00B95469"/>
    <w:rsid w:val="00B96F85"/>
    <w:rsid w:val="00B975A7"/>
    <w:rsid w:val="00BA3549"/>
    <w:rsid w:val="00BA3E16"/>
    <w:rsid w:val="00BA5D10"/>
    <w:rsid w:val="00BA755F"/>
    <w:rsid w:val="00BA79D0"/>
    <w:rsid w:val="00BA7F6D"/>
    <w:rsid w:val="00BB1307"/>
    <w:rsid w:val="00BB175A"/>
    <w:rsid w:val="00BB1DD4"/>
    <w:rsid w:val="00BB2393"/>
    <w:rsid w:val="00BB3A0B"/>
    <w:rsid w:val="00BB4F64"/>
    <w:rsid w:val="00BB4F6B"/>
    <w:rsid w:val="00BB502A"/>
    <w:rsid w:val="00BB5060"/>
    <w:rsid w:val="00BB5159"/>
    <w:rsid w:val="00BB5451"/>
    <w:rsid w:val="00BB5E2D"/>
    <w:rsid w:val="00BB614C"/>
    <w:rsid w:val="00BB67F4"/>
    <w:rsid w:val="00BC13D9"/>
    <w:rsid w:val="00BC1E2D"/>
    <w:rsid w:val="00BC3E5A"/>
    <w:rsid w:val="00BC3EF0"/>
    <w:rsid w:val="00BC4A94"/>
    <w:rsid w:val="00BC60E6"/>
    <w:rsid w:val="00BC66BB"/>
    <w:rsid w:val="00BC72E3"/>
    <w:rsid w:val="00BC7CA5"/>
    <w:rsid w:val="00BD04EF"/>
    <w:rsid w:val="00BD0564"/>
    <w:rsid w:val="00BD1028"/>
    <w:rsid w:val="00BD1937"/>
    <w:rsid w:val="00BD27C6"/>
    <w:rsid w:val="00BD29FB"/>
    <w:rsid w:val="00BD32FD"/>
    <w:rsid w:val="00BD41A7"/>
    <w:rsid w:val="00BD5222"/>
    <w:rsid w:val="00BD57C2"/>
    <w:rsid w:val="00BD5870"/>
    <w:rsid w:val="00BD5E15"/>
    <w:rsid w:val="00BD7326"/>
    <w:rsid w:val="00BD7F53"/>
    <w:rsid w:val="00BE144D"/>
    <w:rsid w:val="00BE16C2"/>
    <w:rsid w:val="00BE227F"/>
    <w:rsid w:val="00BE26D0"/>
    <w:rsid w:val="00BE2BF3"/>
    <w:rsid w:val="00BE2E5B"/>
    <w:rsid w:val="00BE380F"/>
    <w:rsid w:val="00BE387C"/>
    <w:rsid w:val="00BE3B32"/>
    <w:rsid w:val="00BE4511"/>
    <w:rsid w:val="00BE5D61"/>
    <w:rsid w:val="00BE6AF7"/>
    <w:rsid w:val="00BF0B46"/>
    <w:rsid w:val="00BF0DE0"/>
    <w:rsid w:val="00BF204E"/>
    <w:rsid w:val="00BF2B3E"/>
    <w:rsid w:val="00BF33B0"/>
    <w:rsid w:val="00BF3629"/>
    <w:rsid w:val="00BF64A7"/>
    <w:rsid w:val="00C00480"/>
    <w:rsid w:val="00C0063E"/>
    <w:rsid w:val="00C01616"/>
    <w:rsid w:val="00C02C2F"/>
    <w:rsid w:val="00C03580"/>
    <w:rsid w:val="00C03D77"/>
    <w:rsid w:val="00C03EE5"/>
    <w:rsid w:val="00C03FAD"/>
    <w:rsid w:val="00C05903"/>
    <w:rsid w:val="00C06AE0"/>
    <w:rsid w:val="00C06F8F"/>
    <w:rsid w:val="00C10180"/>
    <w:rsid w:val="00C10359"/>
    <w:rsid w:val="00C11CD5"/>
    <w:rsid w:val="00C13009"/>
    <w:rsid w:val="00C13D94"/>
    <w:rsid w:val="00C13F9E"/>
    <w:rsid w:val="00C146CC"/>
    <w:rsid w:val="00C14EE1"/>
    <w:rsid w:val="00C1525D"/>
    <w:rsid w:val="00C153BD"/>
    <w:rsid w:val="00C163A8"/>
    <w:rsid w:val="00C16509"/>
    <w:rsid w:val="00C169B0"/>
    <w:rsid w:val="00C16BB3"/>
    <w:rsid w:val="00C1799B"/>
    <w:rsid w:val="00C17D5B"/>
    <w:rsid w:val="00C20C13"/>
    <w:rsid w:val="00C2164F"/>
    <w:rsid w:val="00C21B76"/>
    <w:rsid w:val="00C225AB"/>
    <w:rsid w:val="00C229F7"/>
    <w:rsid w:val="00C23291"/>
    <w:rsid w:val="00C2349C"/>
    <w:rsid w:val="00C23B18"/>
    <w:rsid w:val="00C24FC2"/>
    <w:rsid w:val="00C25581"/>
    <w:rsid w:val="00C25C2A"/>
    <w:rsid w:val="00C26CC7"/>
    <w:rsid w:val="00C2745B"/>
    <w:rsid w:val="00C321D6"/>
    <w:rsid w:val="00C3385E"/>
    <w:rsid w:val="00C340EC"/>
    <w:rsid w:val="00C36DF7"/>
    <w:rsid w:val="00C37239"/>
    <w:rsid w:val="00C40389"/>
    <w:rsid w:val="00C41937"/>
    <w:rsid w:val="00C41D19"/>
    <w:rsid w:val="00C42193"/>
    <w:rsid w:val="00C43741"/>
    <w:rsid w:val="00C4377E"/>
    <w:rsid w:val="00C439D9"/>
    <w:rsid w:val="00C448F8"/>
    <w:rsid w:val="00C45AFD"/>
    <w:rsid w:val="00C45F06"/>
    <w:rsid w:val="00C461B1"/>
    <w:rsid w:val="00C46D28"/>
    <w:rsid w:val="00C5003D"/>
    <w:rsid w:val="00C505DA"/>
    <w:rsid w:val="00C5079D"/>
    <w:rsid w:val="00C5100D"/>
    <w:rsid w:val="00C53801"/>
    <w:rsid w:val="00C53949"/>
    <w:rsid w:val="00C561A8"/>
    <w:rsid w:val="00C56EAB"/>
    <w:rsid w:val="00C57045"/>
    <w:rsid w:val="00C571FE"/>
    <w:rsid w:val="00C57216"/>
    <w:rsid w:val="00C5735C"/>
    <w:rsid w:val="00C60C68"/>
    <w:rsid w:val="00C621D0"/>
    <w:rsid w:val="00C6227F"/>
    <w:rsid w:val="00C6386A"/>
    <w:rsid w:val="00C639E3"/>
    <w:rsid w:val="00C63A1A"/>
    <w:rsid w:val="00C65032"/>
    <w:rsid w:val="00C65DCB"/>
    <w:rsid w:val="00C66889"/>
    <w:rsid w:val="00C70256"/>
    <w:rsid w:val="00C71138"/>
    <w:rsid w:val="00C724F9"/>
    <w:rsid w:val="00C72AE4"/>
    <w:rsid w:val="00C75CC6"/>
    <w:rsid w:val="00C771C4"/>
    <w:rsid w:val="00C80A87"/>
    <w:rsid w:val="00C83FB8"/>
    <w:rsid w:val="00C84418"/>
    <w:rsid w:val="00C84BE7"/>
    <w:rsid w:val="00C84FF4"/>
    <w:rsid w:val="00C8687A"/>
    <w:rsid w:val="00C86F0B"/>
    <w:rsid w:val="00C87144"/>
    <w:rsid w:val="00C87DA2"/>
    <w:rsid w:val="00C87DD2"/>
    <w:rsid w:val="00C902DC"/>
    <w:rsid w:val="00C90ED6"/>
    <w:rsid w:val="00C92B1E"/>
    <w:rsid w:val="00C92DC7"/>
    <w:rsid w:val="00C9431E"/>
    <w:rsid w:val="00C9638A"/>
    <w:rsid w:val="00C964A0"/>
    <w:rsid w:val="00C96584"/>
    <w:rsid w:val="00C96897"/>
    <w:rsid w:val="00C9714F"/>
    <w:rsid w:val="00C97388"/>
    <w:rsid w:val="00CA14F4"/>
    <w:rsid w:val="00CA16BB"/>
    <w:rsid w:val="00CA1C34"/>
    <w:rsid w:val="00CA23BA"/>
    <w:rsid w:val="00CA3344"/>
    <w:rsid w:val="00CA4E93"/>
    <w:rsid w:val="00CA4FF9"/>
    <w:rsid w:val="00CA67B5"/>
    <w:rsid w:val="00CA6A8D"/>
    <w:rsid w:val="00CA6AFB"/>
    <w:rsid w:val="00CB1182"/>
    <w:rsid w:val="00CB247D"/>
    <w:rsid w:val="00CB24A5"/>
    <w:rsid w:val="00CB25DB"/>
    <w:rsid w:val="00CB3D15"/>
    <w:rsid w:val="00CB3E5F"/>
    <w:rsid w:val="00CB3EB8"/>
    <w:rsid w:val="00CB4E15"/>
    <w:rsid w:val="00CB564A"/>
    <w:rsid w:val="00CB6CF6"/>
    <w:rsid w:val="00CB6D1E"/>
    <w:rsid w:val="00CB7109"/>
    <w:rsid w:val="00CB798D"/>
    <w:rsid w:val="00CC0A71"/>
    <w:rsid w:val="00CC0AED"/>
    <w:rsid w:val="00CC1BB7"/>
    <w:rsid w:val="00CD0574"/>
    <w:rsid w:val="00CD0907"/>
    <w:rsid w:val="00CD0AE5"/>
    <w:rsid w:val="00CD10A2"/>
    <w:rsid w:val="00CD1C9B"/>
    <w:rsid w:val="00CD3160"/>
    <w:rsid w:val="00CD39E4"/>
    <w:rsid w:val="00CD5135"/>
    <w:rsid w:val="00CD69C5"/>
    <w:rsid w:val="00CD78CA"/>
    <w:rsid w:val="00CD7B36"/>
    <w:rsid w:val="00CE0B8A"/>
    <w:rsid w:val="00CE13F3"/>
    <w:rsid w:val="00CE27C5"/>
    <w:rsid w:val="00CE39AD"/>
    <w:rsid w:val="00CE4189"/>
    <w:rsid w:val="00CE6244"/>
    <w:rsid w:val="00CE77C3"/>
    <w:rsid w:val="00CE798F"/>
    <w:rsid w:val="00CF0383"/>
    <w:rsid w:val="00CF0699"/>
    <w:rsid w:val="00CF20F5"/>
    <w:rsid w:val="00CF2DE0"/>
    <w:rsid w:val="00D00709"/>
    <w:rsid w:val="00D01DB7"/>
    <w:rsid w:val="00D029F8"/>
    <w:rsid w:val="00D0302C"/>
    <w:rsid w:val="00D0389F"/>
    <w:rsid w:val="00D04764"/>
    <w:rsid w:val="00D05D6B"/>
    <w:rsid w:val="00D06586"/>
    <w:rsid w:val="00D06BF7"/>
    <w:rsid w:val="00D07273"/>
    <w:rsid w:val="00D075AC"/>
    <w:rsid w:val="00D1009D"/>
    <w:rsid w:val="00D10526"/>
    <w:rsid w:val="00D1198A"/>
    <w:rsid w:val="00D11EEC"/>
    <w:rsid w:val="00D12296"/>
    <w:rsid w:val="00D12497"/>
    <w:rsid w:val="00D13B74"/>
    <w:rsid w:val="00D149C4"/>
    <w:rsid w:val="00D165F9"/>
    <w:rsid w:val="00D2061C"/>
    <w:rsid w:val="00D20B07"/>
    <w:rsid w:val="00D21AA0"/>
    <w:rsid w:val="00D21D86"/>
    <w:rsid w:val="00D2270F"/>
    <w:rsid w:val="00D22827"/>
    <w:rsid w:val="00D2314F"/>
    <w:rsid w:val="00D273FA"/>
    <w:rsid w:val="00D30131"/>
    <w:rsid w:val="00D306D6"/>
    <w:rsid w:val="00D34535"/>
    <w:rsid w:val="00D35481"/>
    <w:rsid w:val="00D4006B"/>
    <w:rsid w:val="00D40D2A"/>
    <w:rsid w:val="00D40DC7"/>
    <w:rsid w:val="00D40E9A"/>
    <w:rsid w:val="00D4130B"/>
    <w:rsid w:val="00D4144A"/>
    <w:rsid w:val="00D416BE"/>
    <w:rsid w:val="00D434EE"/>
    <w:rsid w:val="00D44488"/>
    <w:rsid w:val="00D44868"/>
    <w:rsid w:val="00D450A2"/>
    <w:rsid w:val="00D4545A"/>
    <w:rsid w:val="00D45D61"/>
    <w:rsid w:val="00D46975"/>
    <w:rsid w:val="00D46C58"/>
    <w:rsid w:val="00D46C73"/>
    <w:rsid w:val="00D52A14"/>
    <w:rsid w:val="00D554D4"/>
    <w:rsid w:val="00D55D40"/>
    <w:rsid w:val="00D5763D"/>
    <w:rsid w:val="00D57B55"/>
    <w:rsid w:val="00D60630"/>
    <w:rsid w:val="00D60FE2"/>
    <w:rsid w:val="00D61071"/>
    <w:rsid w:val="00D612A3"/>
    <w:rsid w:val="00D62A1C"/>
    <w:rsid w:val="00D62CED"/>
    <w:rsid w:val="00D6397C"/>
    <w:rsid w:val="00D64468"/>
    <w:rsid w:val="00D65437"/>
    <w:rsid w:val="00D657A1"/>
    <w:rsid w:val="00D72644"/>
    <w:rsid w:val="00D756C5"/>
    <w:rsid w:val="00D80A24"/>
    <w:rsid w:val="00D80CC9"/>
    <w:rsid w:val="00D82A9B"/>
    <w:rsid w:val="00D82B79"/>
    <w:rsid w:val="00D83C94"/>
    <w:rsid w:val="00D85360"/>
    <w:rsid w:val="00D86B4B"/>
    <w:rsid w:val="00D86D50"/>
    <w:rsid w:val="00D90C3E"/>
    <w:rsid w:val="00D91AF5"/>
    <w:rsid w:val="00D92DD8"/>
    <w:rsid w:val="00D94119"/>
    <w:rsid w:val="00D94CE7"/>
    <w:rsid w:val="00D95462"/>
    <w:rsid w:val="00D95743"/>
    <w:rsid w:val="00D97017"/>
    <w:rsid w:val="00D97E59"/>
    <w:rsid w:val="00DA08DB"/>
    <w:rsid w:val="00DA0C2B"/>
    <w:rsid w:val="00DA15AF"/>
    <w:rsid w:val="00DA1A14"/>
    <w:rsid w:val="00DA2603"/>
    <w:rsid w:val="00DA3068"/>
    <w:rsid w:val="00DA3BD9"/>
    <w:rsid w:val="00DA412A"/>
    <w:rsid w:val="00DA577B"/>
    <w:rsid w:val="00DA61E4"/>
    <w:rsid w:val="00DA69D2"/>
    <w:rsid w:val="00DA6C35"/>
    <w:rsid w:val="00DA7AC3"/>
    <w:rsid w:val="00DA7F0B"/>
    <w:rsid w:val="00DB0848"/>
    <w:rsid w:val="00DB4F67"/>
    <w:rsid w:val="00DB5517"/>
    <w:rsid w:val="00DB57B4"/>
    <w:rsid w:val="00DB5A2D"/>
    <w:rsid w:val="00DB66F0"/>
    <w:rsid w:val="00DB76C6"/>
    <w:rsid w:val="00DB79AC"/>
    <w:rsid w:val="00DB7AE7"/>
    <w:rsid w:val="00DB7C2D"/>
    <w:rsid w:val="00DC2993"/>
    <w:rsid w:val="00DC3053"/>
    <w:rsid w:val="00DC3076"/>
    <w:rsid w:val="00DC3E0C"/>
    <w:rsid w:val="00DC3E58"/>
    <w:rsid w:val="00DC3FF9"/>
    <w:rsid w:val="00DC4804"/>
    <w:rsid w:val="00DC4DFF"/>
    <w:rsid w:val="00DC649D"/>
    <w:rsid w:val="00DC7A1A"/>
    <w:rsid w:val="00DD0DE0"/>
    <w:rsid w:val="00DD19A7"/>
    <w:rsid w:val="00DD3635"/>
    <w:rsid w:val="00DD44A1"/>
    <w:rsid w:val="00DD4D70"/>
    <w:rsid w:val="00DD502A"/>
    <w:rsid w:val="00DD53C4"/>
    <w:rsid w:val="00DD71AE"/>
    <w:rsid w:val="00DD7C2A"/>
    <w:rsid w:val="00DE1556"/>
    <w:rsid w:val="00DE194C"/>
    <w:rsid w:val="00DE2AEA"/>
    <w:rsid w:val="00DE38D5"/>
    <w:rsid w:val="00DE418D"/>
    <w:rsid w:val="00DE460B"/>
    <w:rsid w:val="00DE49FC"/>
    <w:rsid w:val="00DE4DDE"/>
    <w:rsid w:val="00DE4E80"/>
    <w:rsid w:val="00DE6AAC"/>
    <w:rsid w:val="00DE7401"/>
    <w:rsid w:val="00DF1F83"/>
    <w:rsid w:val="00DF2F37"/>
    <w:rsid w:val="00DF31D8"/>
    <w:rsid w:val="00DF4518"/>
    <w:rsid w:val="00DF59B7"/>
    <w:rsid w:val="00E00953"/>
    <w:rsid w:val="00E0096E"/>
    <w:rsid w:val="00E06175"/>
    <w:rsid w:val="00E0640C"/>
    <w:rsid w:val="00E108CD"/>
    <w:rsid w:val="00E1195A"/>
    <w:rsid w:val="00E12098"/>
    <w:rsid w:val="00E1426C"/>
    <w:rsid w:val="00E14D3E"/>
    <w:rsid w:val="00E16058"/>
    <w:rsid w:val="00E163CD"/>
    <w:rsid w:val="00E17D6A"/>
    <w:rsid w:val="00E2033F"/>
    <w:rsid w:val="00E20A7D"/>
    <w:rsid w:val="00E20C53"/>
    <w:rsid w:val="00E21750"/>
    <w:rsid w:val="00E2198A"/>
    <w:rsid w:val="00E224EF"/>
    <w:rsid w:val="00E2280E"/>
    <w:rsid w:val="00E234B3"/>
    <w:rsid w:val="00E234FF"/>
    <w:rsid w:val="00E24820"/>
    <w:rsid w:val="00E24D65"/>
    <w:rsid w:val="00E269FE"/>
    <w:rsid w:val="00E30B4E"/>
    <w:rsid w:val="00E318B9"/>
    <w:rsid w:val="00E3296F"/>
    <w:rsid w:val="00E35E85"/>
    <w:rsid w:val="00E365E2"/>
    <w:rsid w:val="00E37C31"/>
    <w:rsid w:val="00E40613"/>
    <w:rsid w:val="00E407BD"/>
    <w:rsid w:val="00E41476"/>
    <w:rsid w:val="00E416E6"/>
    <w:rsid w:val="00E41FAE"/>
    <w:rsid w:val="00E423E4"/>
    <w:rsid w:val="00E425FA"/>
    <w:rsid w:val="00E4268B"/>
    <w:rsid w:val="00E4440E"/>
    <w:rsid w:val="00E4671F"/>
    <w:rsid w:val="00E5009E"/>
    <w:rsid w:val="00E50467"/>
    <w:rsid w:val="00E50BDA"/>
    <w:rsid w:val="00E53960"/>
    <w:rsid w:val="00E539A5"/>
    <w:rsid w:val="00E53B49"/>
    <w:rsid w:val="00E54EF7"/>
    <w:rsid w:val="00E56547"/>
    <w:rsid w:val="00E56D44"/>
    <w:rsid w:val="00E572C9"/>
    <w:rsid w:val="00E601FE"/>
    <w:rsid w:val="00E60A9F"/>
    <w:rsid w:val="00E60E16"/>
    <w:rsid w:val="00E60E34"/>
    <w:rsid w:val="00E6127D"/>
    <w:rsid w:val="00E63C31"/>
    <w:rsid w:val="00E64012"/>
    <w:rsid w:val="00E6470D"/>
    <w:rsid w:val="00E65319"/>
    <w:rsid w:val="00E67AE1"/>
    <w:rsid w:val="00E67D24"/>
    <w:rsid w:val="00E70CE5"/>
    <w:rsid w:val="00E71BDE"/>
    <w:rsid w:val="00E72E8D"/>
    <w:rsid w:val="00E748DD"/>
    <w:rsid w:val="00E75F5D"/>
    <w:rsid w:val="00E769A1"/>
    <w:rsid w:val="00E76AEB"/>
    <w:rsid w:val="00E777B0"/>
    <w:rsid w:val="00E818FC"/>
    <w:rsid w:val="00E84B59"/>
    <w:rsid w:val="00E85C05"/>
    <w:rsid w:val="00E85C8B"/>
    <w:rsid w:val="00E86784"/>
    <w:rsid w:val="00E86BBB"/>
    <w:rsid w:val="00E87293"/>
    <w:rsid w:val="00E873A3"/>
    <w:rsid w:val="00E90252"/>
    <w:rsid w:val="00E92005"/>
    <w:rsid w:val="00E92EB4"/>
    <w:rsid w:val="00E934BE"/>
    <w:rsid w:val="00E934F3"/>
    <w:rsid w:val="00E9543D"/>
    <w:rsid w:val="00E9686F"/>
    <w:rsid w:val="00E971E7"/>
    <w:rsid w:val="00E973EB"/>
    <w:rsid w:val="00E9764D"/>
    <w:rsid w:val="00E97A66"/>
    <w:rsid w:val="00E97FE1"/>
    <w:rsid w:val="00EA0186"/>
    <w:rsid w:val="00EA02C5"/>
    <w:rsid w:val="00EA13FF"/>
    <w:rsid w:val="00EA44B9"/>
    <w:rsid w:val="00EA494A"/>
    <w:rsid w:val="00EA6670"/>
    <w:rsid w:val="00EA6DBB"/>
    <w:rsid w:val="00EA75DE"/>
    <w:rsid w:val="00EA7630"/>
    <w:rsid w:val="00EB3007"/>
    <w:rsid w:val="00EB3418"/>
    <w:rsid w:val="00EB41AF"/>
    <w:rsid w:val="00EB43F3"/>
    <w:rsid w:val="00EB5362"/>
    <w:rsid w:val="00EB5A21"/>
    <w:rsid w:val="00EB651C"/>
    <w:rsid w:val="00EB68CD"/>
    <w:rsid w:val="00EB6B3A"/>
    <w:rsid w:val="00EB72DD"/>
    <w:rsid w:val="00EC250E"/>
    <w:rsid w:val="00EC2530"/>
    <w:rsid w:val="00EC35EB"/>
    <w:rsid w:val="00EC39B6"/>
    <w:rsid w:val="00EC3A90"/>
    <w:rsid w:val="00EC4C13"/>
    <w:rsid w:val="00EC69C5"/>
    <w:rsid w:val="00EC796D"/>
    <w:rsid w:val="00ED02BA"/>
    <w:rsid w:val="00ED0E58"/>
    <w:rsid w:val="00ED1379"/>
    <w:rsid w:val="00ED1E5B"/>
    <w:rsid w:val="00ED237D"/>
    <w:rsid w:val="00ED2467"/>
    <w:rsid w:val="00ED2BEC"/>
    <w:rsid w:val="00ED2D1D"/>
    <w:rsid w:val="00ED3506"/>
    <w:rsid w:val="00ED5CBF"/>
    <w:rsid w:val="00ED6224"/>
    <w:rsid w:val="00ED63C6"/>
    <w:rsid w:val="00ED7BF6"/>
    <w:rsid w:val="00ED7FE6"/>
    <w:rsid w:val="00EE1146"/>
    <w:rsid w:val="00EE15E1"/>
    <w:rsid w:val="00EE162C"/>
    <w:rsid w:val="00EE1948"/>
    <w:rsid w:val="00EE1BBD"/>
    <w:rsid w:val="00EE1D91"/>
    <w:rsid w:val="00EE248B"/>
    <w:rsid w:val="00EE3D6E"/>
    <w:rsid w:val="00EE557E"/>
    <w:rsid w:val="00EE598D"/>
    <w:rsid w:val="00EE627D"/>
    <w:rsid w:val="00EF057E"/>
    <w:rsid w:val="00EF0649"/>
    <w:rsid w:val="00EF0CE7"/>
    <w:rsid w:val="00EF2510"/>
    <w:rsid w:val="00EF3E27"/>
    <w:rsid w:val="00EF41E3"/>
    <w:rsid w:val="00EF476C"/>
    <w:rsid w:val="00EF4CF5"/>
    <w:rsid w:val="00EF4E42"/>
    <w:rsid w:val="00EF55C2"/>
    <w:rsid w:val="00EF56AF"/>
    <w:rsid w:val="00EF59F7"/>
    <w:rsid w:val="00EF691C"/>
    <w:rsid w:val="00EF6FD0"/>
    <w:rsid w:val="00EF74A3"/>
    <w:rsid w:val="00EF7910"/>
    <w:rsid w:val="00F002C9"/>
    <w:rsid w:val="00F00317"/>
    <w:rsid w:val="00F006B6"/>
    <w:rsid w:val="00F009BB"/>
    <w:rsid w:val="00F02579"/>
    <w:rsid w:val="00F03269"/>
    <w:rsid w:val="00F042EB"/>
    <w:rsid w:val="00F04FFB"/>
    <w:rsid w:val="00F0631F"/>
    <w:rsid w:val="00F06E70"/>
    <w:rsid w:val="00F06ED0"/>
    <w:rsid w:val="00F072FF"/>
    <w:rsid w:val="00F10051"/>
    <w:rsid w:val="00F1143B"/>
    <w:rsid w:val="00F13B0F"/>
    <w:rsid w:val="00F148BB"/>
    <w:rsid w:val="00F15120"/>
    <w:rsid w:val="00F1660B"/>
    <w:rsid w:val="00F172A4"/>
    <w:rsid w:val="00F17A23"/>
    <w:rsid w:val="00F21B05"/>
    <w:rsid w:val="00F21E9E"/>
    <w:rsid w:val="00F2268B"/>
    <w:rsid w:val="00F23067"/>
    <w:rsid w:val="00F23BF5"/>
    <w:rsid w:val="00F23D01"/>
    <w:rsid w:val="00F244D6"/>
    <w:rsid w:val="00F24666"/>
    <w:rsid w:val="00F2474F"/>
    <w:rsid w:val="00F263CC"/>
    <w:rsid w:val="00F2686C"/>
    <w:rsid w:val="00F26F29"/>
    <w:rsid w:val="00F3086B"/>
    <w:rsid w:val="00F314E4"/>
    <w:rsid w:val="00F315EB"/>
    <w:rsid w:val="00F318C7"/>
    <w:rsid w:val="00F31921"/>
    <w:rsid w:val="00F31C2D"/>
    <w:rsid w:val="00F32008"/>
    <w:rsid w:val="00F33F20"/>
    <w:rsid w:val="00F340B2"/>
    <w:rsid w:val="00F3418D"/>
    <w:rsid w:val="00F34383"/>
    <w:rsid w:val="00F35995"/>
    <w:rsid w:val="00F35D22"/>
    <w:rsid w:val="00F35F1F"/>
    <w:rsid w:val="00F3711F"/>
    <w:rsid w:val="00F40533"/>
    <w:rsid w:val="00F424E0"/>
    <w:rsid w:val="00F433F1"/>
    <w:rsid w:val="00F44FAE"/>
    <w:rsid w:val="00F451B6"/>
    <w:rsid w:val="00F4655B"/>
    <w:rsid w:val="00F4686F"/>
    <w:rsid w:val="00F46D14"/>
    <w:rsid w:val="00F46E18"/>
    <w:rsid w:val="00F47644"/>
    <w:rsid w:val="00F479FB"/>
    <w:rsid w:val="00F506BA"/>
    <w:rsid w:val="00F510EB"/>
    <w:rsid w:val="00F530D5"/>
    <w:rsid w:val="00F53C70"/>
    <w:rsid w:val="00F548B1"/>
    <w:rsid w:val="00F549E4"/>
    <w:rsid w:val="00F5541D"/>
    <w:rsid w:val="00F55A1E"/>
    <w:rsid w:val="00F567A7"/>
    <w:rsid w:val="00F56ACC"/>
    <w:rsid w:val="00F6361C"/>
    <w:rsid w:val="00F63FC2"/>
    <w:rsid w:val="00F640C2"/>
    <w:rsid w:val="00F64581"/>
    <w:rsid w:val="00F66853"/>
    <w:rsid w:val="00F703F8"/>
    <w:rsid w:val="00F705A5"/>
    <w:rsid w:val="00F71502"/>
    <w:rsid w:val="00F7183F"/>
    <w:rsid w:val="00F71C81"/>
    <w:rsid w:val="00F723AC"/>
    <w:rsid w:val="00F72768"/>
    <w:rsid w:val="00F77612"/>
    <w:rsid w:val="00F77AD1"/>
    <w:rsid w:val="00F8018D"/>
    <w:rsid w:val="00F80303"/>
    <w:rsid w:val="00F80D85"/>
    <w:rsid w:val="00F823F3"/>
    <w:rsid w:val="00F82875"/>
    <w:rsid w:val="00F8360D"/>
    <w:rsid w:val="00F84E35"/>
    <w:rsid w:val="00F84F77"/>
    <w:rsid w:val="00F85E65"/>
    <w:rsid w:val="00F87537"/>
    <w:rsid w:val="00F87927"/>
    <w:rsid w:val="00F911B3"/>
    <w:rsid w:val="00F915B2"/>
    <w:rsid w:val="00F934A0"/>
    <w:rsid w:val="00F93520"/>
    <w:rsid w:val="00F93ED0"/>
    <w:rsid w:val="00F94385"/>
    <w:rsid w:val="00F9486C"/>
    <w:rsid w:val="00F957FF"/>
    <w:rsid w:val="00F95EEB"/>
    <w:rsid w:val="00F96E07"/>
    <w:rsid w:val="00F970CD"/>
    <w:rsid w:val="00F972C3"/>
    <w:rsid w:val="00F973EC"/>
    <w:rsid w:val="00FA1091"/>
    <w:rsid w:val="00FA2CB5"/>
    <w:rsid w:val="00FA2E27"/>
    <w:rsid w:val="00FA3B3D"/>
    <w:rsid w:val="00FA4C31"/>
    <w:rsid w:val="00FA565C"/>
    <w:rsid w:val="00FA5CCC"/>
    <w:rsid w:val="00FA5E64"/>
    <w:rsid w:val="00FA5ED6"/>
    <w:rsid w:val="00FA664A"/>
    <w:rsid w:val="00FA7039"/>
    <w:rsid w:val="00FA7A34"/>
    <w:rsid w:val="00FB001B"/>
    <w:rsid w:val="00FB00A3"/>
    <w:rsid w:val="00FB0603"/>
    <w:rsid w:val="00FB153E"/>
    <w:rsid w:val="00FB6262"/>
    <w:rsid w:val="00FB6D9D"/>
    <w:rsid w:val="00FB7FED"/>
    <w:rsid w:val="00FC01FF"/>
    <w:rsid w:val="00FC164F"/>
    <w:rsid w:val="00FC206F"/>
    <w:rsid w:val="00FC2F8D"/>
    <w:rsid w:val="00FC5833"/>
    <w:rsid w:val="00FC5948"/>
    <w:rsid w:val="00FC66A9"/>
    <w:rsid w:val="00FD0CE2"/>
    <w:rsid w:val="00FD31B2"/>
    <w:rsid w:val="00FD32EA"/>
    <w:rsid w:val="00FD3404"/>
    <w:rsid w:val="00FD3F7A"/>
    <w:rsid w:val="00FD5749"/>
    <w:rsid w:val="00FD6BD4"/>
    <w:rsid w:val="00FD6F57"/>
    <w:rsid w:val="00FD763E"/>
    <w:rsid w:val="00FE048B"/>
    <w:rsid w:val="00FE06F0"/>
    <w:rsid w:val="00FE10AC"/>
    <w:rsid w:val="00FE1AA0"/>
    <w:rsid w:val="00FE1C88"/>
    <w:rsid w:val="00FE275A"/>
    <w:rsid w:val="00FE2930"/>
    <w:rsid w:val="00FE2AE3"/>
    <w:rsid w:val="00FE33E9"/>
    <w:rsid w:val="00FE4EE9"/>
    <w:rsid w:val="00FE5163"/>
    <w:rsid w:val="00FE56DE"/>
    <w:rsid w:val="00FE696A"/>
    <w:rsid w:val="00FE6A40"/>
    <w:rsid w:val="00FE7C2E"/>
    <w:rsid w:val="00FE7F36"/>
    <w:rsid w:val="00FF3A17"/>
    <w:rsid w:val="00FF4B59"/>
    <w:rsid w:val="00FF4D7D"/>
    <w:rsid w:val="00FF785C"/>
    <w:rsid w:val="01791CD3"/>
    <w:rsid w:val="01C502E0"/>
    <w:rsid w:val="0205793E"/>
    <w:rsid w:val="023764B2"/>
    <w:rsid w:val="02533F80"/>
    <w:rsid w:val="03944676"/>
    <w:rsid w:val="03D114CB"/>
    <w:rsid w:val="03F21BCC"/>
    <w:rsid w:val="0433251E"/>
    <w:rsid w:val="047B0B3A"/>
    <w:rsid w:val="04EB0EE2"/>
    <w:rsid w:val="063C29C9"/>
    <w:rsid w:val="06832477"/>
    <w:rsid w:val="06856661"/>
    <w:rsid w:val="073B62FE"/>
    <w:rsid w:val="078966FD"/>
    <w:rsid w:val="07BD4336"/>
    <w:rsid w:val="08A01674"/>
    <w:rsid w:val="0920039A"/>
    <w:rsid w:val="095E54F2"/>
    <w:rsid w:val="09FF1157"/>
    <w:rsid w:val="0A015D01"/>
    <w:rsid w:val="0A4C255E"/>
    <w:rsid w:val="0A4F1CC6"/>
    <w:rsid w:val="0A7F56D8"/>
    <w:rsid w:val="0A854839"/>
    <w:rsid w:val="0ACA0AE6"/>
    <w:rsid w:val="0AD94570"/>
    <w:rsid w:val="0AEB48B5"/>
    <w:rsid w:val="0BAE1B1C"/>
    <w:rsid w:val="0C0E7A39"/>
    <w:rsid w:val="0D1F336B"/>
    <w:rsid w:val="0DD6300D"/>
    <w:rsid w:val="0DDB4FA9"/>
    <w:rsid w:val="0DE03378"/>
    <w:rsid w:val="0E141045"/>
    <w:rsid w:val="0E2B2918"/>
    <w:rsid w:val="0E7D4BEE"/>
    <w:rsid w:val="0E9A33AE"/>
    <w:rsid w:val="0EE408D5"/>
    <w:rsid w:val="0EF71738"/>
    <w:rsid w:val="0F655FB1"/>
    <w:rsid w:val="0F834B3D"/>
    <w:rsid w:val="0FCD31DE"/>
    <w:rsid w:val="100C2663"/>
    <w:rsid w:val="100D7D1E"/>
    <w:rsid w:val="107F782F"/>
    <w:rsid w:val="11094D4C"/>
    <w:rsid w:val="111C3487"/>
    <w:rsid w:val="117B3ACB"/>
    <w:rsid w:val="11803E11"/>
    <w:rsid w:val="11B147AE"/>
    <w:rsid w:val="11F052D6"/>
    <w:rsid w:val="122A59BD"/>
    <w:rsid w:val="12761244"/>
    <w:rsid w:val="12A76E20"/>
    <w:rsid w:val="12B20277"/>
    <w:rsid w:val="147C4B0B"/>
    <w:rsid w:val="14BE5F44"/>
    <w:rsid w:val="15194B44"/>
    <w:rsid w:val="1546345F"/>
    <w:rsid w:val="15891CCA"/>
    <w:rsid w:val="15BB233B"/>
    <w:rsid w:val="15C55D50"/>
    <w:rsid w:val="15CC6A3A"/>
    <w:rsid w:val="15E907B0"/>
    <w:rsid w:val="15FD3A42"/>
    <w:rsid w:val="163F73D8"/>
    <w:rsid w:val="16C9AC94"/>
    <w:rsid w:val="17373E4C"/>
    <w:rsid w:val="17EEF9BF"/>
    <w:rsid w:val="18CD0120"/>
    <w:rsid w:val="19010B5E"/>
    <w:rsid w:val="193B6702"/>
    <w:rsid w:val="199865BF"/>
    <w:rsid w:val="1A321375"/>
    <w:rsid w:val="1AE6371B"/>
    <w:rsid w:val="1AEE8575"/>
    <w:rsid w:val="1B125BAC"/>
    <w:rsid w:val="1B150798"/>
    <w:rsid w:val="1B287E1F"/>
    <w:rsid w:val="1BDF427D"/>
    <w:rsid w:val="1C11583C"/>
    <w:rsid w:val="1C212338"/>
    <w:rsid w:val="1C244D13"/>
    <w:rsid w:val="1C634634"/>
    <w:rsid w:val="1C803DCB"/>
    <w:rsid w:val="1CA064D4"/>
    <w:rsid w:val="1CB60B01"/>
    <w:rsid w:val="1D0F0676"/>
    <w:rsid w:val="1D68505D"/>
    <w:rsid w:val="1DDF7107"/>
    <w:rsid w:val="1DF613D9"/>
    <w:rsid w:val="1E0D352E"/>
    <w:rsid w:val="1E1835F3"/>
    <w:rsid w:val="1E8E66B7"/>
    <w:rsid w:val="1EB5526B"/>
    <w:rsid w:val="1EF354FD"/>
    <w:rsid w:val="1F2703FC"/>
    <w:rsid w:val="1FB902AF"/>
    <w:rsid w:val="1FDB18A8"/>
    <w:rsid w:val="1FDF7FCD"/>
    <w:rsid w:val="1FF35677"/>
    <w:rsid w:val="207A470F"/>
    <w:rsid w:val="210B463E"/>
    <w:rsid w:val="21104AD5"/>
    <w:rsid w:val="212E710B"/>
    <w:rsid w:val="217106AC"/>
    <w:rsid w:val="21943D46"/>
    <w:rsid w:val="21D043CE"/>
    <w:rsid w:val="21F5556B"/>
    <w:rsid w:val="2288155B"/>
    <w:rsid w:val="22F94293"/>
    <w:rsid w:val="246B6A3F"/>
    <w:rsid w:val="255B6AC9"/>
    <w:rsid w:val="25DC07E7"/>
    <w:rsid w:val="261F3F85"/>
    <w:rsid w:val="267D6303"/>
    <w:rsid w:val="267E36E0"/>
    <w:rsid w:val="277D4073"/>
    <w:rsid w:val="27824BF7"/>
    <w:rsid w:val="278D7DFF"/>
    <w:rsid w:val="27A75FE0"/>
    <w:rsid w:val="27D2009E"/>
    <w:rsid w:val="27F7B3D6"/>
    <w:rsid w:val="28140AE7"/>
    <w:rsid w:val="28685886"/>
    <w:rsid w:val="289C1037"/>
    <w:rsid w:val="28B05A59"/>
    <w:rsid w:val="28B97D6A"/>
    <w:rsid w:val="28F10DEC"/>
    <w:rsid w:val="29572F1C"/>
    <w:rsid w:val="29D12225"/>
    <w:rsid w:val="2A3D0E7D"/>
    <w:rsid w:val="2A675B61"/>
    <w:rsid w:val="2A9F4381"/>
    <w:rsid w:val="2AD35F6A"/>
    <w:rsid w:val="2B337D29"/>
    <w:rsid w:val="2B746879"/>
    <w:rsid w:val="2BC4E4FA"/>
    <w:rsid w:val="2BDFA08F"/>
    <w:rsid w:val="2BE17618"/>
    <w:rsid w:val="2C3D26FD"/>
    <w:rsid w:val="2C7C3FCF"/>
    <w:rsid w:val="2C8972E8"/>
    <w:rsid w:val="2D126703"/>
    <w:rsid w:val="2D653220"/>
    <w:rsid w:val="2D7E4089"/>
    <w:rsid w:val="2D7F3696"/>
    <w:rsid w:val="2D9178FC"/>
    <w:rsid w:val="2E0C4867"/>
    <w:rsid w:val="2E460B24"/>
    <w:rsid w:val="2E9B6589"/>
    <w:rsid w:val="2EAEC9F1"/>
    <w:rsid w:val="2F1321AD"/>
    <w:rsid w:val="2F257996"/>
    <w:rsid w:val="2F5F1AD0"/>
    <w:rsid w:val="2F79B7FF"/>
    <w:rsid w:val="2F8A7425"/>
    <w:rsid w:val="2FB11BF0"/>
    <w:rsid w:val="2FD9E2C8"/>
    <w:rsid w:val="30C85830"/>
    <w:rsid w:val="30F50996"/>
    <w:rsid w:val="30FC548F"/>
    <w:rsid w:val="31286E31"/>
    <w:rsid w:val="32C21E80"/>
    <w:rsid w:val="32CC4585"/>
    <w:rsid w:val="32D833CC"/>
    <w:rsid w:val="32FF0045"/>
    <w:rsid w:val="33222F79"/>
    <w:rsid w:val="33446C47"/>
    <w:rsid w:val="337D6FDA"/>
    <w:rsid w:val="337E48D0"/>
    <w:rsid w:val="338D7B37"/>
    <w:rsid w:val="33D632D4"/>
    <w:rsid w:val="33ED121E"/>
    <w:rsid w:val="341337CB"/>
    <w:rsid w:val="347E7F55"/>
    <w:rsid w:val="34983880"/>
    <w:rsid w:val="34D33B5B"/>
    <w:rsid w:val="35DEB453"/>
    <w:rsid w:val="35F452AD"/>
    <w:rsid w:val="35FA18FA"/>
    <w:rsid w:val="35FDA9A0"/>
    <w:rsid w:val="36057C4F"/>
    <w:rsid w:val="369D7621"/>
    <w:rsid w:val="36D13079"/>
    <w:rsid w:val="36EFD636"/>
    <w:rsid w:val="36F42249"/>
    <w:rsid w:val="370B5D0C"/>
    <w:rsid w:val="372DF4E4"/>
    <w:rsid w:val="373B347C"/>
    <w:rsid w:val="37540AA2"/>
    <w:rsid w:val="37CEC8E3"/>
    <w:rsid w:val="37EFC505"/>
    <w:rsid w:val="38073074"/>
    <w:rsid w:val="38390CFC"/>
    <w:rsid w:val="383A64FE"/>
    <w:rsid w:val="38E87BC9"/>
    <w:rsid w:val="392320EF"/>
    <w:rsid w:val="392F64B6"/>
    <w:rsid w:val="3953468E"/>
    <w:rsid w:val="3997BC09"/>
    <w:rsid w:val="39FBDF40"/>
    <w:rsid w:val="3A296FBE"/>
    <w:rsid w:val="3A49346A"/>
    <w:rsid w:val="3AB63421"/>
    <w:rsid w:val="3AF7C7FE"/>
    <w:rsid w:val="3B3C48E8"/>
    <w:rsid w:val="3B6F22B3"/>
    <w:rsid w:val="3B7C21DC"/>
    <w:rsid w:val="3B9E1077"/>
    <w:rsid w:val="3BAF13BF"/>
    <w:rsid w:val="3BB64A76"/>
    <w:rsid w:val="3BE65550"/>
    <w:rsid w:val="3BF533B1"/>
    <w:rsid w:val="3BF64AAD"/>
    <w:rsid w:val="3BFF7820"/>
    <w:rsid w:val="3BFF8763"/>
    <w:rsid w:val="3BFFEA80"/>
    <w:rsid w:val="3C02752B"/>
    <w:rsid w:val="3C271159"/>
    <w:rsid w:val="3C3D00DE"/>
    <w:rsid w:val="3C9D1F87"/>
    <w:rsid w:val="3CEA23BD"/>
    <w:rsid w:val="3D366A4A"/>
    <w:rsid w:val="3D4476E5"/>
    <w:rsid w:val="3D49013B"/>
    <w:rsid w:val="3D6E79D2"/>
    <w:rsid w:val="3D7D2179"/>
    <w:rsid w:val="3DB70AD3"/>
    <w:rsid w:val="3DDD6D33"/>
    <w:rsid w:val="3DFD8960"/>
    <w:rsid w:val="3DFF6A48"/>
    <w:rsid w:val="3E0D90E0"/>
    <w:rsid w:val="3E4FDD81"/>
    <w:rsid w:val="3F2A1578"/>
    <w:rsid w:val="3F2FF45A"/>
    <w:rsid w:val="3F4B2142"/>
    <w:rsid w:val="3F4EFA06"/>
    <w:rsid w:val="3F67181A"/>
    <w:rsid w:val="3F6FB961"/>
    <w:rsid w:val="3F7AE3C0"/>
    <w:rsid w:val="3F841762"/>
    <w:rsid w:val="3FAE82D2"/>
    <w:rsid w:val="3FB9CFD9"/>
    <w:rsid w:val="3FC43BC9"/>
    <w:rsid w:val="3FDD800F"/>
    <w:rsid w:val="3FDF0E39"/>
    <w:rsid w:val="3FDFD8B7"/>
    <w:rsid w:val="3FE0CCD5"/>
    <w:rsid w:val="3FE2218B"/>
    <w:rsid w:val="3FF74EEE"/>
    <w:rsid w:val="3FFA062E"/>
    <w:rsid w:val="3FFDF18F"/>
    <w:rsid w:val="3FFF356A"/>
    <w:rsid w:val="3FFF4E45"/>
    <w:rsid w:val="3FFF89BB"/>
    <w:rsid w:val="40360E64"/>
    <w:rsid w:val="408C4C8F"/>
    <w:rsid w:val="413B40E9"/>
    <w:rsid w:val="414E51F3"/>
    <w:rsid w:val="41B10AC2"/>
    <w:rsid w:val="41D95413"/>
    <w:rsid w:val="4259386D"/>
    <w:rsid w:val="431866C6"/>
    <w:rsid w:val="434D3B25"/>
    <w:rsid w:val="438F73C5"/>
    <w:rsid w:val="43C5EFCC"/>
    <w:rsid w:val="43D44955"/>
    <w:rsid w:val="44585D35"/>
    <w:rsid w:val="445B21D4"/>
    <w:rsid w:val="44FA1861"/>
    <w:rsid w:val="45453B9B"/>
    <w:rsid w:val="466E52B3"/>
    <w:rsid w:val="46CA7E9E"/>
    <w:rsid w:val="46F65E21"/>
    <w:rsid w:val="4744128D"/>
    <w:rsid w:val="47504770"/>
    <w:rsid w:val="47921C09"/>
    <w:rsid w:val="47D479C8"/>
    <w:rsid w:val="47EE1D62"/>
    <w:rsid w:val="47F1197B"/>
    <w:rsid w:val="48E56A2C"/>
    <w:rsid w:val="495E4CB3"/>
    <w:rsid w:val="497B4A43"/>
    <w:rsid w:val="498E1E37"/>
    <w:rsid w:val="49EA0282"/>
    <w:rsid w:val="49EFCEA3"/>
    <w:rsid w:val="4A064368"/>
    <w:rsid w:val="4A2F5D4E"/>
    <w:rsid w:val="4AA05FC0"/>
    <w:rsid w:val="4AA20354"/>
    <w:rsid w:val="4ADB22A1"/>
    <w:rsid w:val="4AEC34B5"/>
    <w:rsid w:val="4B5005B9"/>
    <w:rsid w:val="4BFFDA48"/>
    <w:rsid w:val="4C1414C8"/>
    <w:rsid w:val="4C2067BE"/>
    <w:rsid w:val="4CB5461B"/>
    <w:rsid w:val="4CBC5762"/>
    <w:rsid w:val="4D100E7F"/>
    <w:rsid w:val="4D1F38CE"/>
    <w:rsid w:val="4DB766CD"/>
    <w:rsid w:val="4DB8CA2B"/>
    <w:rsid w:val="4E4D5452"/>
    <w:rsid w:val="4E8778D4"/>
    <w:rsid w:val="4EAF389A"/>
    <w:rsid w:val="4F5812B6"/>
    <w:rsid w:val="4F5A5B74"/>
    <w:rsid w:val="4F671238"/>
    <w:rsid w:val="4FB31116"/>
    <w:rsid w:val="4FBD4F30"/>
    <w:rsid w:val="4FE53972"/>
    <w:rsid w:val="503C68AA"/>
    <w:rsid w:val="50CE02B2"/>
    <w:rsid w:val="50E04BBA"/>
    <w:rsid w:val="50F95C4E"/>
    <w:rsid w:val="51086BB6"/>
    <w:rsid w:val="51326EB6"/>
    <w:rsid w:val="514D6B2E"/>
    <w:rsid w:val="516E5206"/>
    <w:rsid w:val="51825244"/>
    <w:rsid w:val="51EB103B"/>
    <w:rsid w:val="527926DA"/>
    <w:rsid w:val="52FB52AE"/>
    <w:rsid w:val="534479D7"/>
    <w:rsid w:val="5358751C"/>
    <w:rsid w:val="53740B45"/>
    <w:rsid w:val="53C83586"/>
    <w:rsid w:val="548E6E95"/>
    <w:rsid w:val="54915733"/>
    <w:rsid w:val="54DE1417"/>
    <w:rsid w:val="5549276B"/>
    <w:rsid w:val="554F368F"/>
    <w:rsid w:val="556B45C1"/>
    <w:rsid w:val="55BE28AC"/>
    <w:rsid w:val="55FF452A"/>
    <w:rsid w:val="56104FC2"/>
    <w:rsid w:val="56262319"/>
    <w:rsid w:val="56513061"/>
    <w:rsid w:val="569B2BBD"/>
    <w:rsid w:val="569C760E"/>
    <w:rsid w:val="569F7CC5"/>
    <w:rsid w:val="56FB12FA"/>
    <w:rsid w:val="57250B4B"/>
    <w:rsid w:val="57571CC6"/>
    <w:rsid w:val="576E2CC0"/>
    <w:rsid w:val="578A4B45"/>
    <w:rsid w:val="57B63614"/>
    <w:rsid w:val="57FE5A6A"/>
    <w:rsid w:val="57FFABDC"/>
    <w:rsid w:val="58234BB9"/>
    <w:rsid w:val="584B08BD"/>
    <w:rsid w:val="58A67FE8"/>
    <w:rsid w:val="591FD123"/>
    <w:rsid w:val="596C0CB3"/>
    <w:rsid w:val="59B47F65"/>
    <w:rsid w:val="5A222771"/>
    <w:rsid w:val="5AA91B59"/>
    <w:rsid w:val="5AD46575"/>
    <w:rsid w:val="5B146098"/>
    <w:rsid w:val="5B1E7D8B"/>
    <w:rsid w:val="5B4A0DDA"/>
    <w:rsid w:val="5BC3325E"/>
    <w:rsid w:val="5BF1578E"/>
    <w:rsid w:val="5C193A65"/>
    <w:rsid w:val="5CF2576A"/>
    <w:rsid w:val="5CFFBE88"/>
    <w:rsid w:val="5DB911BC"/>
    <w:rsid w:val="5DE6657A"/>
    <w:rsid w:val="5DF5819D"/>
    <w:rsid w:val="5E7C376C"/>
    <w:rsid w:val="5E8D6361"/>
    <w:rsid w:val="5EA837C9"/>
    <w:rsid w:val="5EC02968"/>
    <w:rsid w:val="5EF71B2E"/>
    <w:rsid w:val="5F0E45BB"/>
    <w:rsid w:val="5F3DC737"/>
    <w:rsid w:val="5F5F5F0E"/>
    <w:rsid w:val="5F606F7D"/>
    <w:rsid w:val="5F6F27E6"/>
    <w:rsid w:val="5F7A91EA"/>
    <w:rsid w:val="5F8624F1"/>
    <w:rsid w:val="5F8D37B7"/>
    <w:rsid w:val="5F9B53A1"/>
    <w:rsid w:val="5FC50B3D"/>
    <w:rsid w:val="5FDB1D92"/>
    <w:rsid w:val="5FEA2932"/>
    <w:rsid w:val="5FEDC342"/>
    <w:rsid w:val="5FF23595"/>
    <w:rsid w:val="5FF35171"/>
    <w:rsid w:val="5FF60412"/>
    <w:rsid w:val="5FF65026"/>
    <w:rsid w:val="5FFFAC80"/>
    <w:rsid w:val="60124C12"/>
    <w:rsid w:val="60393A72"/>
    <w:rsid w:val="603A516E"/>
    <w:rsid w:val="60754B42"/>
    <w:rsid w:val="60B30F76"/>
    <w:rsid w:val="60C237D0"/>
    <w:rsid w:val="60C931D4"/>
    <w:rsid w:val="61572DAE"/>
    <w:rsid w:val="61AC78CC"/>
    <w:rsid w:val="620307DD"/>
    <w:rsid w:val="62176D39"/>
    <w:rsid w:val="62343ED9"/>
    <w:rsid w:val="62467BC8"/>
    <w:rsid w:val="63311331"/>
    <w:rsid w:val="63532FF1"/>
    <w:rsid w:val="63903516"/>
    <w:rsid w:val="63EC7FE2"/>
    <w:rsid w:val="63FC06B4"/>
    <w:rsid w:val="6444055B"/>
    <w:rsid w:val="644E7E74"/>
    <w:rsid w:val="647057FB"/>
    <w:rsid w:val="6478757A"/>
    <w:rsid w:val="647975EC"/>
    <w:rsid w:val="64A954DC"/>
    <w:rsid w:val="6502744D"/>
    <w:rsid w:val="65064292"/>
    <w:rsid w:val="650937C9"/>
    <w:rsid w:val="653E7284"/>
    <w:rsid w:val="65464BB6"/>
    <w:rsid w:val="65D97BA7"/>
    <w:rsid w:val="65DFA4BB"/>
    <w:rsid w:val="66010196"/>
    <w:rsid w:val="663A1AF8"/>
    <w:rsid w:val="66D03EF3"/>
    <w:rsid w:val="66FFC039"/>
    <w:rsid w:val="67480B1F"/>
    <w:rsid w:val="67596562"/>
    <w:rsid w:val="67AA3B19"/>
    <w:rsid w:val="67AB656F"/>
    <w:rsid w:val="67C15479"/>
    <w:rsid w:val="67CE48E7"/>
    <w:rsid w:val="67DA7FEE"/>
    <w:rsid w:val="67F32B26"/>
    <w:rsid w:val="69165C6D"/>
    <w:rsid w:val="693B6DFD"/>
    <w:rsid w:val="69551473"/>
    <w:rsid w:val="69627389"/>
    <w:rsid w:val="696D0284"/>
    <w:rsid w:val="6978C146"/>
    <w:rsid w:val="69D215D7"/>
    <w:rsid w:val="69DB544E"/>
    <w:rsid w:val="6AFFD4D3"/>
    <w:rsid w:val="6B0A723D"/>
    <w:rsid w:val="6B6E2CBD"/>
    <w:rsid w:val="6B777F18"/>
    <w:rsid w:val="6B79A76F"/>
    <w:rsid w:val="6BBE0DBA"/>
    <w:rsid w:val="6BBF2186"/>
    <w:rsid w:val="6BD12F95"/>
    <w:rsid w:val="6BDD5CD8"/>
    <w:rsid w:val="6BF1475D"/>
    <w:rsid w:val="6C075DAC"/>
    <w:rsid w:val="6C325657"/>
    <w:rsid w:val="6C6B2312"/>
    <w:rsid w:val="6CB46AE8"/>
    <w:rsid w:val="6CB60ACE"/>
    <w:rsid w:val="6CF94851"/>
    <w:rsid w:val="6D3C221B"/>
    <w:rsid w:val="6D7ECAAD"/>
    <w:rsid w:val="6DE7CE4B"/>
    <w:rsid w:val="6DF565CB"/>
    <w:rsid w:val="6DFED50D"/>
    <w:rsid w:val="6E453429"/>
    <w:rsid w:val="6E5A7A01"/>
    <w:rsid w:val="6EFFB660"/>
    <w:rsid w:val="6F294684"/>
    <w:rsid w:val="6F6F8BEC"/>
    <w:rsid w:val="6FA71920"/>
    <w:rsid w:val="6FA9BF99"/>
    <w:rsid w:val="6FEF0952"/>
    <w:rsid w:val="6FF7860B"/>
    <w:rsid w:val="6FF7992D"/>
    <w:rsid w:val="6FFF247A"/>
    <w:rsid w:val="70611F6D"/>
    <w:rsid w:val="714675D6"/>
    <w:rsid w:val="715F666C"/>
    <w:rsid w:val="7167914E"/>
    <w:rsid w:val="7177133C"/>
    <w:rsid w:val="71CB4D56"/>
    <w:rsid w:val="71CD44E8"/>
    <w:rsid w:val="71EA0DE7"/>
    <w:rsid w:val="72166513"/>
    <w:rsid w:val="72606A84"/>
    <w:rsid w:val="72BB6DAD"/>
    <w:rsid w:val="72C305F0"/>
    <w:rsid w:val="7314021C"/>
    <w:rsid w:val="73221EA9"/>
    <w:rsid w:val="733A4EA6"/>
    <w:rsid w:val="737C9016"/>
    <w:rsid w:val="73A579AE"/>
    <w:rsid w:val="73B42CFD"/>
    <w:rsid w:val="73BDD73B"/>
    <w:rsid w:val="73C34AAB"/>
    <w:rsid w:val="73CFFE02"/>
    <w:rsid w:val="73FF6DDB"/>
    <w:rsid w:val="740B41CC"/>
    <w:rsid w:val="74B310ED"/>
    <w:rsid w:val="74C86784"/>
    <w:rsid w:val="74C96B93"/>
    <w:rsid w:val="74D1261A"/>
    <w:rsid w:val="754C32EF"/>
    <w:rsid w:val="75616B80"/>
    <w:rsid w:val="758B6266"/>
    <w:rsid w:val="75BF1117"/>
    <w:rsid w:val="75BFF44D"/>
    <w:rsid w:val="75F93477"/>
    <w:rsid w:val="761A6DB5"/>
    <w:rsid w:val="7670288E"/>
    <w:rsid w:val="767F5CD0"/>
    <w:rsid w:val="76A63494"/>
    <w:rsid w:val="76DA085C"/>
    <w:rsid w:val="76FC257D"/>
    <w:rsid w:val="770C1377"/>
    <w:rsid w:val="775EF835"/>
    <w:rsid w:val="776F4ECF"/>
    <w:rsid w:val="7779BE38"/>
    <w:rsid w:val="777F12DD"/>
    <w:rsid w:val="77D38755"/>
    <w:rsid w:val="77DC18A8"/>
    <w:rsid w:val="77EB6883"/>
    <w:rsid w:val="77F75118"/>
    <w:rsid w:val="77FA470C"/>
    <w:rsid w:val="77FEC560"/>
    <w:rsid w:val="781F6771"/>
    <w:rsid w:val="78255199"/>
    <w:rsid w:val="786700B7"/>
    <w:rsid w:val="786B0AB7"/>
    <w:rsid w:val="78733EB0"/>
    <w:rsid w:val="788C3F57"/>
    <w:rsid w:val="78921B99"/>
    <w:rsid w:val="78BFEC86"/>
    <w:rsid w:val="791B3704"/>
    <w:rsid w:val="791E388B"/>
    <w:rsid w:val="79594C61"/>
    <w:rsid w:val="795D00B8"/>
    <w:rsid w:val="796B643A"/>
    <w:rsid w:val="797F92FA"/>
    <w:rsid w:val="798D76BC"/>
    <w:rsid w:val="79E00940"/>
    <w:rsid w:val="79E87DBE"/>
    <w:rsid w:val="79F9DA57"/>
    <w:rsid w:val="7A1C6403"/>
    <w:rsid w:val="7A7988CF"/>
    <w:rsid w:val="7A8A2F5E"/>
    <w:rsid w:val="7AAE7A61"/>
    <w:rsid w:val="7AB811A1"/>
    <w:rsid w:val="7AC95D67"/>
    <w:rsid w:val="7AE72BEC"/>
    <w:rsid w:val="7AF34313"/>
    <w:rsid w:val="7AF5498E"/>
    <w:rsid w:val="7AF76CC1"/>
    <w:rsid w:val="7B424F78"/>
    <w:rsid w:val="7B5BAF94"/>
    <w:rsid w:val="7B762783"/>
    <w:rsid w:val="7BCE2005"/>
    <w:rsid w:val="7BD587CA"/>
    <w:rsid w:val="7BDF6CE4"/>
    <w:rsid w:val="7BEA2C24"/>
    <w:rsid w:val="7BF5B145"/>
    <w:rsid w:val="7BF97A4A"/>
    <w:rsid w:val="7BFB630F"/>
    <w:rsid w:val="7BFF0BDB"/>
    <w:rsid w:val="7BFF47BD"/>
    <w:rsid w:val="7C1E72C4"/>
    <w:rsid w:val="7C5B42CF"/>
    <w:rsid w:val="7C5C2F75"/>
    <w:rsid w:val="7CF4E9C8"/>
    <w:rsid w:val="7D5176F5"/>
    <w:rsid w:val="7D824051"/>
    <w:rsid w:val="7D9667B8"/>
    <w:rsid w:val="7D9D3854"/>
    <w:rsid w:val="7DB3162D"/>
    <w:rsid w:val="7DBE7D6B"/>
    <w:rsid w:val="7DBF71B5"/>
    <w:rsid w:val="7DBF7645"/>
    <w:rsid w:val="7DE46888"/>
    <w:rsid w:val="7DFA1D19"/>
    <w:rsid w:val="7DFB2714"/>
    <w:rsid w:val="7E2B5206"/>
    <w:rsid w:val="7E341237"/>
    <w:rsid w:val="7E694F12"/>
    <w:rsid w:val="7E9B601A"/>
    <w:rsid w:val="7E9E710D"/>
    <w:rsid w:val="7EB5E7B0"/>
    <w:rsid w:val="7EBFF3D7"/>
    <w:rsid w:val="7EE24A62"/>
    <w:rsid w:val="7EED353C"/>
    <w:rsid w:val="7EFF31A0"/>
    <w:rsid w:val="7F3BA972"/>
    <w:rsid w:val="7F4DD6AD"/>
    <w:rsid w:val="7F565496"/>
    <w:rsid w:val="7F6D63DB"/>
    <w:rsid w:val="7F71A189"/>
    <w:rsid w:val="7F759C5B"/>
    <w:rsid w:val="7F7B572D"/>
    <w:rsid w:val="7F7BDD0F"/>
    <w:rsid w:val="7F7E0EE6"/>
    <w:rsid w:val="7F9D4FA1"/>
    <w:rsid w:val="7FAB3839"/>
    <w:rsid w:val="7FAB3D96"/>
    <w:rsid w:val="7FAFFCE2"/>
    <w:rsid w:val="7FB64187"/>
    <w:rsid w:val="7FBA455F"/>
    <w:rsid w:val="7FBEBD3B"/>
    <w:rsid w:val="7FBF1EB0"/>
    <w:rsid w:val="7FCF42A1"/>
    <w:rsid w:val="7FCF5FC9"/>
    <w:rsid w:val="7FD58920"/>
    <w:rsid w:val="7FDF3874"/>
    <w:rsid w:val="7FE7E89E"/>
    <w:rsid w:val="7FEEB066"/>
    <w:rsid w:val="7FEF5B90"/>
    <w:rsid w:val="7FF7EBBA"/>
    <w:rsid w:val="7FF9BFD1"/>
    <w:rsid w:val="7FFA3120"/>
    <w:rsid w:val="7FFB1E89"/>
    <w:rsid w:val="7FFDD19D"/>
    <w:rsid w:val="7FFF6D36"/>
    <w:rsid w:val="7FFF93C9"/>
    <w:rsid w:val="84EFBA69"/>
    <w:rsid w:val="87F11C36"/>
    <w:rsid w:val="8AEF76BF"/>
    <w:rsid w:val="8B57D699"/>
    <w:rsid w:val="8BFFC82F"/>
    <w:rsid w:val="8CEFDA45"/>
    <w:rsid w:val="8DD4566B"/>
    <w:rsid w:val="92FA315A"/>
    <w:rsid w:val="937B6F8D"/>
    <w:rsid w:val="95FAE282"/>
    <w:rsid w:val="96F60ECB"/>
    <w:rsid w:val="9AFB791E"/>
    <w:rsid w:val="9D7E851D"/>
    <w:rsid w:val="9EB31FE7"/>
    <w:rsid w:val="9EF39A63"/>
    <w:rsid w:val="9F2F0417"/>
    <w:rsid w:val="9F7D7693"/>
    <w:rsid w:val="9FF3D805"/>
    <w:rsid w:val="A7794EE5"/>
    <w:rsid w:val="A7BE59F9"/>
    <w:rsid w:val="AB91D909"/>
    <w:rsid w:val="ABFE4FD6"/>
    <w:rsid w:val="ADDBF4A8"/>
    <w:rsid w:val="B2E50FF9"/>
    <w:rsid w:val="B2F4132A"/>
    <w:rsid w:val="B6FE6A5A"/>
    <w:rsid w:val="B77F763B"/>
    <w:rsid w:val="B77F8FEA"/>
    <w:rsid w:val="B77FFBBF"/>
    <w:rsid w:val="B7FFED75"/>
    <w:rsid w:val="B95B8AC3"/>
    <w:rsid w:val="B9AFDCF4"/>
    <w:rsid w:val="BBB713F8"/>
    <w:rsid w:val="BBDE0A00"/>
    <w:rsid w:val="BBE89E9D"/>
    <w:rsid w:val="BBF6860C"/>
    <w:rsid w:val="BBFFA7EF"/>
    <w:rsid w:val="BD67CC89"/>
    <w:rsid w:val="BDBF4B1D"/>
    <w:rsid w:val="BDF6C8D8"/>
    <w:rsid w:val="BDFDF24F"/>
    <w:rsid w:val="BE9AA65E"/>
    <w:rsid w:val="BEBF7AAF"/>
    <w:rsid w:val="BF724B80"/>
    <w:rsid w:val="BF769558"/>
    <w:rsid w:val="BF7F0AF0"/>
    <w:rsid w:val="BF962978"/>
    <w:rsid w:val="BFB68485"/>
    <w:rsid w:val="BFBE1C76"/>
    <w:rsid w:val="BFC8FBC7"/>
    <w:rsid w:val="BFF16AF4"/>
    <w:rsid w:val="BFF3429E"/>
    <w:rsid w:val="BFFB5F82"/>
    <w:rsid w:val="BFFD6490"/>
    <w:rsid w:val="BFFF8812"/>
    <w:rsid w:val="C57F19DA"/>
    <w:rsid w:val="C6C7844C"/>
    <w:rsid w:val="C8FF2700"/>
    <w:rsid w:val="CB3F1175"/>
    <w:rsid w:val="CCEAF677"/>
    <w:rsid w:val="CDB3AD1F"/>
    <w:rsid w:val="CFBD5B7F"/>
    <w:rsid w:val="CFEF5BAB"/>
    <w:rsid w:val="D07F2DF6"/>
    <w:rsid w:val="D29FAE75"/>
    <w:rsid w:val="D5D382EE"/>
    <w:rsid w:val="D6F90AFD"/>
    <w:rsid w:val="D7BF231F"/>
    <w:rsid w:val="D7DEC0DD"/>
    <w:rsid w:val="D7DF7C12"/>
    <w:rsid w:val="D7FD0F89"/>
    <w:rsid w:val="DAFDF0E0"/>
    <w:rsid w:val="DB7ED6CB"/>
    <w:rsid w:val="DBED9BDA"/>
    <w:rsid w:val="DD314086"/>
    <w:rsid w:val="DD7F0086"/>
    <w:rsid w:val="DDCD6140"/>
    <w:rsid w:val="DDED440F"/>
    <w:rsid w:val="DDF74E82"/>
    <w:rsid w:val="DEBD2D84"/>
    <w:rsid w:val="DEE7B509"/>
    <w:rsid w:val="DEFF1367"/>
    <w:rsid w:val="DF5750D5"/>
    <w:rsid w:val="DF5B7A9D"/>
    <w:rsid w:val="DF9F1424"/>
    <w:rsid w:val="DFDF685B"/>
    <w:rsid w:val="DFEF6434"/>
    <w:rsid w:val="DFF88CD7"/>
    <w:rsid w:val="DFFAAECC"/>
    <w:rsid w:val="DFFB3215"/>
    <w:rsid w:val="DFFB8B7A"/>
    <w:rsid w:val="DFFF15F0"/>
    <w:rsid w:val="DFFF3E58"/>
    <w:rsid w:val="E7B4310E"/>
    <w:rsid w:val="E7D2B630"/>
    <w:rsid w:val="E7DBF087"/>
    <w:rsid w:val="E7F77AFC"/>
    <w:rsid w:val="E7FC56C5"/>
    <w:rsid w:val="E7FF6F89"/>
    <w:rsid w:val="E97B7166"/>
    <w:rsid w:val="EAB1C343"/>
    <w:rsid w:val="EBD7E3F0"/>
    <w:rsid w:val="EBDFC361"/>
    <w:rsid w:val="EC9F5989"/>
    <w:rsid w:val="ECCF85EC"/>
    <w:rsid w:val="EEDF0300"/>
    <w:rsid w:val="EF7FD19E"/>
    <w:rsid w:val="EFAD1FF4"/>
    <w:rsid w:val="EFB437D5"/>
    <w:rsid w:val="EFC73F7C"/>
    <w:rsid w:val="EFCE6DD2"/>
    <w:rsid w:val="EFE75DF5"/>
    <w:rsid w:val="EFEFAA88"/>
    <w:rsid w:val="EFEFFD5E"/>
    <w:rsid w:val="EFF143F9"/>
    <w:rsid w:val="EFF72413"/>
    <w:rsid w:val="EFF7FA2D"/>
    <w:rsid w:val="EFF938A8"/>
    <w:rsid w:val="EFFBA383"/>
    <w:rsid w:val="F1AD6C41"/>
    <w:rsid w:val="F27C5B8C"/>
    <w:rsid w:val="F2F61215"/>
    <w:rsid w:val="F3BE4C61"/>
    <w:rsid w:val="F3DF75B3"/>
    <w:rsid w:val="F53E91DF"/>
    <w:rsid w:val="F53F3753"/>
    <w:rsid w:val="F56F15A7"/>
    <w:rsid w:val="F57FFADB"/>
    <w:rsid w:val="F5FDA7D9"/>
    <w:rsid w:val="F6FC0824"/>
    <w:rsid w:val="F767FBB1"/>
    <w:rsid w:val="F77E30C4"/>
    <w:rsid w:val="F7BAED10"/>
    <w:rsid w:val="F7D79C11"/>
    <w:rsid w:val="F7DF87A2"/>
    <w:rsid w:val="F7DFBB3C"/>
    <w:rsid w:val="F7EB09F8"/>
    <w:rsid w:val="F7F5FE29"/>
    <w:rsid w:val="F7FE2C09"/>
    <w:rsid w:val="F7FF9315"/>
    <w:rsid w:val="F90F8F7C"/>
    <w:rsid w:val="F97FDD2B"/>
    <w:rsid w:val="F9AB903F"/>
    <w:rsid w:val="F9BFAF22"/>
    <w:rsid w:val="F9F32820"/>
    <w:rsid w:val="F9FB6609"/>
    <w:rsid w:val="F9FF4599"/>
    <w:rsid w:val="FA6F5E89"/>
    <w:rsid w:val="FABC319B"/>
    <w:rsid w:val="FAFFA69D"/>
    <w:rsid w:val="FB56B0C2"/>
    <w:rsid w:val="FB81453C"/>
    <w:rsid w:val="FB96F91F"/>
    <w:rsid w:val="FBB36CAF"/>
    <w:rsid w:val="FD3785CC"/>
    <w:rsid w:val="FD7B0087"/>
    <w:rsid w:val="FDBD2CFA"/>
    <w:rsid w:val="FDBF4BC4"/>
    <w:rsid w:val="FDDF2402"/>
    <w:rsid w:val="FDF6A749"/>
    <w:rsid w:val="FDFD23B3"/>
    <w:rsid w:val="FE4D6CDE"/>
    <w:rsid w:val="FE62708A"/>
    <w:rsid w:val="FE8FD1F9"/>
    <w:rsid w:val="FEB10F91"/>
    <w:rsid w:val="FECDD73C"/>
    <w:rsid w:val="FEDD5D85"/>
    <w:rsid w:val="FEEE2160"/>
    <w:rsid w:val="FEEF0B76"/>
    <w:rsid w:val="FEF573FA"/>
    <w:rsid w:val="FEF7226B"/>
    <w:rsid w:val="FEF97E2C"/>
    <w:rsid w:val="FF4363BD"/>
    <w:rsid w:val="FF6A1EAC"/>
    <w:rsid w:val="FF795FD4"/>
    <w:rsid w:val="FF7BCA5A"/>
    <w:rsid w:val="FF7FA287"/>
    <w:rsid w:val="FF7FFAB1"/>
    <w:rsid w:val="FF9E5115"/>
    <w:rsid w:val="FFAF1D2E"/>
    <w:rsid w:val="FFB4DABA"/>
    <w:rsid w:val="FFBF9976"/>
    <w:rsid w:val="FFD5D403"/>
    <w:rsid w:val="FFD65B47"/>
    <w:rsid w:val="FFD7658D"/>
    <w:rsid w:val="FFDB4044"/>
    <w:rsid w:val="FFDF00DE"/>
    <w:rsid w:val="FFDF3120"/>
    <w:rsid w:val="FFDF4D62"/>
    <w:rsid w:val="FFDF8C57"/>
    <w:rsid w:val="FFE7DECB"/>
    <w:rsid w:val="FFE8271B"/>
    <w:rsid w:val="FFEB05CE"/>
    <w:rsid w:val="FFEE8F39"/>
    <w:rsid w:val="FFEFE519"/>
    <w:rsid w:val="FFF3430A"/>
    <w:rsid w:val="FFF5AF3A"/>
    <w:rsid w:val="FFF6915B"/>
    <w:rsid w:val="FFFD9234"/>
    <w:rsid w:val="FFFF01CB"/>
    <w:rsid w:val="FFFF7066"/>
    <w:rsid w:val="FFFFCF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仿宋_GB2312" w:cs="Times New Roman"/>
      <w:snapToGrid w:val="0"/>
      <w:kern w:val="32"/>
      <w:sz w:val="32"/>
      <w:szCs w:val="32"/>
      <w:lang w:val="en-US" w:eastAsia="zh-CN" w:bidi="ar-SA"/>
    </w:rPr>
  </w:style>
  <w:style w:type="paragraph" w:styleId="4">
    <w:name w:val="heading 1"/>
    <w:basedOn w:val="1"/>
    <w:next w:val="1"/>
    <w:qFormat/>
    <w:uiPriority w:val="0"/>
    <w:pPr>
      <w:jc w:val="left"/>
      <w:outlineLvl w:val="0"/>
    </w:pPr>
    <w:rPr>
      <w:rFonts w:ascii="黑体" w:eastAsia="黑体"/>
      <w:bCs/>
    </w:rPr>
  </w:style>
  <w:style w:type="paragraph" w:styleId="5">
    <w:name w:val="heading 2"/>
    <w:basedOn w:val="1"/>
    <w:next w:val="1"/>
    <w:qFormat/>
    <w:uiPriority w:val="0"/>
    <w:pPr>
      <w:outlineLvl w:val="1"/>
    </w:pPr>
    <w:rPr>
      <w:b/>
      <w:bCs/>
    </w:rPr>
  </w:style>
  <w:style w:type="paragraph" w:styleId="6">
    <w:name w:val="heading 3"/>
    <w:basedOn w:val="1"/>
    <w:next w:val="1"/>
    <w:qFormat/>
    <w:uiPriority w:val="0"/>
    <w:pPr>
      <w:adjustRightInd w:val="0"/>
      <w:snapToGrid w:val="0"/>
      <w:spacing w:line="336" w:lineRule="auto"/>
      <w:ind w:firstLine="200" w:firstLineChars="200"/>
      <w:outlineLvl w:val="2"/>
    </w:pPr>
    <w:rPr>
      <w:rFonts w:eastAsia="楷体_GB2312"/>
      <w:bCs/>
    </w:rPr>
  </w:style>
  <w:style w:type="paragraph" w:styleId="7">
    <w:name w:val="heading 5"/>
    <w:basedOn w:val="1"/>
    <w:next w:val="1"/>
    <w:qFormat/>
    <w:uiPriority w:val="0"/>
    <w:pPr>
      <w:keepNext/>
      <w:keepLines/>
      <w:spacing w:before="280" w:after="290" w:line="376" w:lineRule="auto"/>
      <w:outlineLvl w:val="4"/>
    </w:pPr>
    <w:rPr>
      <w:b/>
      <w:bCs/>
      <w:sz w:val="28"/>
      <w:szCs w:val="28"/>
    </w:rPr>
  </w:style>
  <w:style w:type="character" w:default="1" w:styleId="34">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23"/>
    <w:qFormat/>
    <w:uiPriority w:val="0"/>
    <w:pPr>
      <w:spacing w:after="120"/>
    </w:p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8">
    <w:name w:val="Normal Indent"/>
    <w:basedOn w:val="1"/>
    <w:qFormat/>
    <w:uiPriority w:val="99"/>
    <w:pPr>
      <w:ind w:firstLine="420" w:firstLineChars="200"/>
    </w:pPr>
  </w:style>
  <w:style w:type="paragraph" w:styleId="9">
    <w:name w:val="caption"/>
    <w:basedOn w:val="1"/>
    <w:next w:val="1"/>
    <w:unhideWhenUsed/>
    <w:qFormat/>
    <w:uiPriority w:val="35"/>
    <w:rPr>
      <w:rFonts w:ascii="Cambria" w:hAnsi="Cambria" w:eastAsia="黑体"/>
      <w:snapToGrid/>
      <w:kern w:val="2"/>
      <w:sz w:val="20"/>
      <w:szCs w:val="20"/>
    </w:rPr>
  </w:style>
  <w:style w:type="paragraph" w:styleId="10">
    <w:name w:val="Document Map"/>
    <w:basedOn w:val="1"/>
    <w:qFormat/>
    <w:uiPriority w:val="0"/>
    <w:pPr>
      <w:shd w:val="clear" w:color="auto" w:fill="000080"/>
    </w:pPr>
  </w:style>
  <w:style w:type="paragraph" w:styleId="11">
    <w:name w:val="annotation text"/>
    <w:basedOn w:val="1"/>
    <w:link w:val="115"/>
    <w:qFormat/>
    <w:uiPriority w:val="0"/>
    <w:pPr>
      <w:jc w:val="left"/>
    </w:pPr>
    <w:rPr>
      <w:rFonts w:ascii="Times New Roman" w:hAnsi="Times New Roman" w:eastAsia="宋体"/>
      <w:snapToGrid/>
      <w:kern w:val="2"/>
      <w:sz w:val="21"/>
      <w:szCs w:val="20"/>
    </w:rPr>
  </w:style>
  <w:style w:type="paragraph" w:styleId="12">
    <w:name w:val="Body Text Indent"/>
    <w:basedOn w:val="1"/>
    <w:link w:val="42"/>
    <w:qFormat/>
    <w:uiPriority w:val="0"/>
    <w:pPr>
      <w:ind w:left="570" w:hanging="30"/>
    </w:pPr>
    <w:rPr>
      <w:rFonts w:ascii="Times New Roman" w:hAnsi="Times New Roman" w:eastAsia="宋体"/>
      <w:snapToGrid/>
      <w:kern w:val="2"/>
      <w:sz w:val="28"/>
      <w:szCs w:val="20"/>
    </w:rPr>
  </w:style>
  <w:style w:type="paragraph" w:styleId="13">
    <w:name w:val="Block Text"/>
    <w:basedOn w:val="1"/>
    <w:qFormat/>
    <w:uiPriority w:val="0"/>
    <w:pPr>
      <w:ind w:left="-718" w:leftChars="-342" w:right="-512" w:rightChars="-244"/>
      <w:jc w:val="center"/>
    </w:pPr>
    <w:rPr>
      <w:rFonts w:ascii="仿宋_GB2312"/>
      <w:snapToGrid/>
      <w:kern w:val="2"/>
      <w:sz w:val="44"/>
    </w:rPr>
  </w:style>
  <w:style w:type="paragraph" w:styleId="14">
    <w:name w:val="toc 3"/>
    <w:basedOn w:val="1"/>
    <w:next w:val="1"/>
    <w:unhideWhenUsed/>
    <w:qFormat/>
    <w:uiPriority w:val="39"/>
    <w:pPr>
      <w:widowControl/>
      <w:spacing w:after="100" w:line="276" w:lineRule="auto"/>
      <w:ind w:left="440"/>
      <w:jc w:val="left"/>
    </w:pPr>
    <w:rPr>
      <w:rFonts w:ascii="Calibri" w:hAnsi="Calibri" w:eastAsia="宋体"/>
      <w:snapToGrid/>
      <w:kern w:val="0"/>
      <w:sz w:val="22"/>
      <w:szCs w:val="22"/>
    </w:rPr>
  </w:style>
  <w:style w:type="paragraph" w:styleId="15">
    <w:name w:val="Plain Text"/>
    <w:basedOn w:val="1"/>
    <w:link w:val="43"/>
    <w:qFormat/>
    <w:uiPriority w:val="0"/>
    <w:rPr>
      <w:rFonts w:hAnsi="Courier New" w:eastAsia="宋体" w:cs="Courier New"/>
      <w:kern w:val="2"/>
      <w:sz w:val="21"/>
      <w:szCs w:val="21"/>
    </w:rPr>
  </w:style>
  <w:style w:type="paragraph" w:styleId="16">
    <w:name w:val="Date"/>
    <w:basedOn w:val="1"/>
    <w:next w:val="1"/>
    <w:link w:val="44"/>
    <w:qFormat/>
    <w:uiPriority w:val="0"/>
    <w:pPr>
      <w:ind w:left="100" w:leftChars="2500"/>
    </w:pPr>
  </w:style>
  <w:style w:type="paragraph" w:styleId="17">
    <w:name w:val="Body Text Indent 2"/>
    <w:basedOn w:val="1"/>
    <w:qFormat/>
    <w:uiPriority w:val="0"/>
    <w:pPr>
      <w:spacing w:after="120" w:line="480" w:lineRule="auto"/>
      <w:ind w:left="420" w:leftChars="200"/>
    </w:pPr>
    <w:rPr>
      <w:rFonts w:ascii="Times New Roman" w:hAnsi="Times New Roman"/>
      <w:snapToGrid/>
      <w:kern w:val="2"/>
      <w:szCs w:val="24"/>
    </w:rPr>
  </w:style>
  <w:style w:type="paragraph" w:styleId="18">
    <w:name w:val="Balloon Text"/>
    <w:basedOn w:val="1"/>
    <w:qFormat/>
    <w:uiPriority w:val="0"/>
    <w:rPr>
      <w:sz w:val="18"/>
      <w:szCs w:val="18"/>
    </w:rPr>
  </w:style>
  <w:style w:type="paragraph" w:styleId="19">
    <w:name w:val="footer"/>
    <w:basedOn w:val="1"/>
    <w:next w:val="1"/>
    <w:link w:val="45"/>
    <w:qFormat/>
    <w:uiPriority w:val="0"/>
    <w:pPr>
      <w:tabs>
        <w:tab w:val="center" w:pos="4153"/>
        <w:tab w:val="right" w:pos="8306"/>
      </w:tabs>
      <w:snapToGrid w:val="0"/>
      <w:jc w:val="left"/>
    </w:pPr>
    <w:rPr>
      <w:sz w:val="18"/>
      <w:szCs w:val="18"/>
    </w:rPr>
  </w:style>
  <w:style w:type="paragraph" w:styleId="20">
    <w:name w:val="envelope return"/>
    <w:basedOn w:val="1"/>
    <w:qFormat/>
    <w:uiPriority w:val="0"/>
    <w:pPr>
      <w:widowControl/>
      <w:jc w:val="left"/>
    </w:pPr>
    <w:rPr>
      <w:rFonts w:ascii="Garamond" w:hAnsi="Garamond" w:eastAsia="宋体"/>
      <w:snapToGrid/>
      <w:kern w:val="0"/>
      <w:sz w:val="24"/>
      <w:szCs w:val="20"/>
      <w:lang w:val="fr-CH" w:eastAsia="en-US"/>
    </w:rPr>
  </w:style>
  <w:style w:type="paragraph" w:styleId="21">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unhideWhenUsed/>
    <w:qFormat/>
    <w:uiPriority w:val="39"/>
    <w:pPr>
      <w:tabs>
        <w:tab w:val="right" w:leader="dot" w:pos="8630"/>
      </w:tabs>
      <w:jc w:val="center"/>
    </w:pPr>
    <w:rPr>
      <w:rFonts w:ascii="华文楷体" w:hAnsi="华文楷体" w:eastAsia="华文楷体"/>
      <w:b/>
      <w:snapToGrid/>
      <w:kern w:val="2"/>
      <w:sz w:val="36"/>
    </w:rPr>
  </w:style>
  <w:style w:type="paragraph" w:styleId="23">
    <w:name w:val="List"/>
    <w:basedOn w:val="2"/>
    <w:qFormat/>
    <w:uiPriority w:val="0"/>
    <w:pPr>
      <w:suppressAutoHyphens/>
      <w:spacing w:after="0" w:line="0" w:lineRule="atLeast"/>
      <w:jc w:val="center"/>
    </w:pPr>
    <w:rPr>
      <w:rFonts w:ascii="方正小标宋简体" w:hAnsi="方正小标宋简体" w:eastAsia="方正小标宋简体"/>
      <w:snapToGrid/>
      <w:kern w:val="1"/>
      <w:sz w:val="44"/>
      <w:szCs w:val="24"/>
    </w:rPr>
  </w:style>
  <w:style w:type="paragraph" w:styleId="24">
    <w:name w:val="footnote text"/>
    <w:basedOn w:val="1"/>
    <w:qFormat/>
    <w:uiPriority w:val="99"/>
    <w:pPr>
      <w:snapToGrid w:val="0"/>
      <w:jc w:val="left"/>
    </w:pPr>
    <w:rPr>
      <w:sz w:val="18"/>
    </w:rPr>
  </w:style>
  <w:style w:type="paragraph" w:styleId="25">
    <w:name w:val="Body Text Indent 3"/>
    <w:basedOn w:val="1"/>
    <w:qFormat/>
    <w:uiPriority w:val="0"/>
    <w:pPr>
      <w:spacing w:after="120"/>
      <w:ind w:left="420" w:leftChars="200"/>
    </w:pPr>
    <w:rPr>
      <w:sz w:val="16"/>
      <w:szCs w:val="16"/>
    </w:rPr>
  </w:style>
  <w:style w:type="paragraph" w:styleId="26">
    <w:name w:val="toc 2"/>
    <w:basedOn w:val="1"/>
    <w:next w:val="1"/>
    <w:unhideWhenUsed/>
    <w:qFormat/>
    <w:uiPriority w:val="39"/>
    <w:pPr>
      <w:ind w:left="420" w:leftChars="200"/>
    </w:pPr>
    <w:rPr>
      <w:rFonts w:ascii="Calibri" w:hAnsi="Calibri" w:eastAsia="宋体"/>
      <w:snapToGrid/>
      <w:kern w:val="2"/>
      <w:sz w:val="21"/>
      <w:szCs w:val="22"/>
    </w:rPr>
  </w:style>
  <w:style w:type="paragraph" w:styleId="27">
    <w:name w:val="Body Text 2"/>
    <w:basedOn w:val="1"/>
    <w:qFormat/>
    <w:uiPriority w:val="0"/>
    <w:pPr>
      <w:spacing w:after="120" w:line="480" w:lineRule="auto"/>
    </w:pPr>
    <w:rPr>
      <w:rFonts w:ascii="Times New Roman" w:hAnsi="Times New Roman" w:eastAsia="宋体"/>
      <w:snapToGrid/>
      <w:kern w:val="2"/>
      <w:sz w:val="21"/>
      <w:szCs w:val="24"/>
    </w:rPr>
  </w:style>
  <w:style w:type="paragraph" w:styleId="28">
    <w:name w:val="HTML Preformatted"/>
    <w:basedOn w:val="1"/>
    <w:link w:val="47"/>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eastAsia="宋体"/>
      <w:snapToGrid/>
      <w:kern w:val="0"/>
      <w:sz w:val="24"/>
      <w:szCs w:val="24"/>
    </w:rPr>
  </w:style>
  <w:style w:type="paragraph" w:styleId="29">
    <w:name w:val="Normal (Web)"/>
    <w:basedOn w:val="1"/>
    <w:qFormat/>
    <w:uiPriority w:val="0"/>
    <w:pPr>
      <w:widowControl/>
      <w:spacing w:before="100" w:beforeAutospacing="1"/>
      <w:jc w:val="center"/>
    </w:pPr>
    <w:rPr>
      <w:rFonts w:eastAsia="宋体"/>
      <w:snapToGrid/>
      <w:kern w:val="0"/>
      <w:sz w:val="24"/>
      <w:szCs w:val="24"/>
    </w:rPr>
  </w:style>
  <w:style w:type="paragraph" w:styleId="30">
    <w:name w:val="Title"/>
    <w:basedOn w:val="1"/>
    <w:link w:val="48"/>
    <w:qFormat/>
    <w:uiPriority w:val="0"/>
    <w:pPr>
      <w:spacing w:line="216" w:lineRule="auto"/>
      <w:jc w:val="center"/>
      <w:outlineLvl w:val="0"/>
    </w:pPr>
    <w:rPr>
      <w:rFonts w:ascii="方正小标宋简体" w:hAnsi="Arial" w:eastAsia="方正小标宋简体" w:cs="Arial"/>
      <w:bCs/>
      <w:kern w:val="44"/>
      <w:sz w:val="44"/>
      <w:szCs w:val="44"/>
    </w:rPr>
  </w:style>
  <w:style w:type="paragraph" w:styleId="31">
    <w:name w:val="annotation subject"/>
    <w:basedOn w:val="11"/>
    <w:next w:val="11"/>
    <w:link w:val="116"/>
    <w:qFormat/>
    <w:uiPriority w:val="0"/>
    <w:rPr>
      <w:rFonts w:ascii="宋体" w:hAnsi="宋体" w:eastAsia="仿宋_GB2312"/>
      <w:b/>
      <w:bCs/>
      <w:snapToGrid w:val="0"/>
      <w:kern w:val="32"/>
      <w:sz w:val="32"/>
      <w:szCs w:val="32"/>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0"/>
    <w:rPr>
      <w:b/>
      <w:bCs/>
    </w:rPr>
  </w:style>
  <w:style w:type="character" w:styleId="36">
    <w:name w:val="page number"/>
    <w:basedOn w:val="34"/>
    <w:qFormat/>
    <w:uiPriority w:val="0"/>
  </w:style>
  <w:style w:type="character" w:styleId="37">
    <w:name w:val="FollowedHyperlink"/>
    <w:basedOn w:val="34"/>
    <w:qFormat/>
    <w:uiPriority w:val="0"/>
    <w:rPr>
      <w:color w:val="800080"/>
      <w:u w:val="single"/>
    </w:rPr>
  </w:style>
  <w:style w:type="character" w:styleId="38">
    <w:name w:val="Hyperlink"/>
    <w:basedOn w:val="34"/>
    <w:qFormat/>
    <w:uiPriority w:val="0"/>
    <w:rPr>
      <w:color w:val="0000FF"/>
      <w:u w:val="single"/>
    </w:rPr>
  </w:style>
  <w:style w:type="character" w:styleId="39">
    <w:name w:val="annotation reference"/>
    <w:basedOn w:val="34"/>
    <w:qFormat/>
    <w:uiPriority w:val="0"/>
    <w:rPr>
      <w:sz w:val="21"/>
      <w:szCs w:val="21"/>
    </w:rPr>
  </w:style>
  <w:style w:type="character" w:styleId="40">
    <w:name w:val="footnote reference"/>
    <w:basedOn w:val="34"/>
    <w:qFormat/>
    <w:uiPriority w:val="99"/>
    <w:rPr>
      <w:vertAlign w:val="superscript"/>
    </w:rPr>
  </w:style>
  <w:style w:type="paragraph" w:customStyle="1" w:styleId="41">
    <w:name w:val="toc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42">
    <w:name w:val="正文文本缩进 字符"/>
    <w:basedOn w:val="34"/>
    <w:link w:val="12"/>
    <w:qFormat/>
    <w:uiPriority w:val="0"/>
    <w:rPr>
      <w:rFonts w:eastAsia="宋体"/>
      <w:kern w:val="2"/>
      <w:sz w:val="28"/>
      <w:lang w:val="en-US" w:eastAsia="zh-CN" w:bidi="ar-SA"/>
    </w:rPr>
  </w:style>
  <w:style w:type="character" w:customStyle="1" w:styleId="43">
    <w:name w:val="纯文本 字符"/>
    <w:basedOn w:val="34"/>
    <w:link w:val="15"/>
    <w:qFormat/>
    <w:uiPriority w:val="0"/>
    <w:rPr>
      <w:rFonts w:ascii="宋体" w:hAnsi="Courier New" w:eastAsia="宋体" w:cs="Courier New"/>
      <w:kern w:val="2"/>
      <w:sz w:val="21"/>
      <w:szCs w:val="21"/>
      <w:lang w:val="en-US" w:eastAsia="zh-CN" w:bidi="ar-SA"/>
    </w:rPr>
  </w:style>
  <w:style w:type="character" w:customStyle="1" w:styleId="44">
    <w:name w:val="日期 字符"/>
    <w:basedOn w:val="34"/>
    <w:link w:val="16"/>
    <w:semiHidden/>
    <w:qFormat/>
    <w:locked/>
    <w:uiPriority w:val="0"/>
    <w:rPr>
      <w:rFonts w:ascii="宋体" w:hAnsi="宋体" w:eastAsia="仿宋_GB2312"/>
      <w:snapToGrid w:val="0"/>
      <w:kern w:val="32"/>
      <w:sz w:val="32"/>
      <w:szCs w:val="32"/>
      <w:lang w:val="en-US" w:eastAsia="zh-CN" w:bidi="ar-SA"/>
    </w:rPr>
  </w:style>
  <w:style w:type="character" w:customStyle="1" w:styleId="45">
    <w:name w:val="页脚 字符"/>
    <w:basedOn w:val="34"/>
    <w:link w:val="19"/>
    <w:semiHidden/>
    <w:qFormat/>
    <w:locked/>
    <w:uiPriority w:val="0"/>
    <w:rPr>
      <w:rFonts w:ascii="宋体" w:hAnsi="宋体" w:eastAsia="仿宋_GB2312"/>
      <w:snapToGrid w:val="0"/>
      <w:kern w:val="32"/>
      <w:sz w:val="18"/>
      <w:szCs w:val="18"/>
      <w:lang w:val="en-US" w:eastAsia="zh-CN" w:bidi="ar-SA"/>
    </w:rPr>
  </w:style>
  <w:style w:type="character" w:customStyle="1" w:styleId="46">
    <w:name w:val="页眉 字符"/>
    <w:basedOn w:val="34"/>
    <w:link w:val="21"/>
    <w:semiHidden/>
    <w:qFormat/>
    <w:locked/>
    <w:uiPriority w:val="0"/>
    <w:rPr>
      <w:rFonts w:ascii="宋体" w:hAnsi="宋体" w:eastAsia="仿宋_GB2312"/>
      <w:snapToGrid w:val="0"/>
      <w:kern w:val="32"/>
      <w:sz w:val="18"/>
      <w:szCs w:val="18"/>
      <w:lang w:val="en-US" w:eastAsia="zh-CN" w:bidi="ar-SA"/>
    </w:rPr>
  </w:style>
  <w:style w:type="character" w:customStyle="1" w:styleId="47">
    <w:name w:val="HTML 预设格式 字符"/>
    <w:link w:val="28"/>
    <w:qFormat/>
    <w:locked/>
    <w:uiPriority w:val="0"/>
    <w:rPr>
      <w:rFonts w:ascii="宋体" w:hAnsi="宋体" w:eastAsia="宋体"/>
      <w:sz w:val="24"/>
      <w:szCs w:val="24"/>
      <w:lang w:val="en-US" w:eastAsia="zh-CN" w:bidi="ar-SA"/>
    </w:rPr>
  </w:style>
  <w:style w:type="character" w:customStyle="1" w:styleId="48">
    <w:name w:val="标题 字符"/>
    <w:basedOn w:val="34"/>
    <w:link w:val="30"/>
    <w:qFormat/>
    <w:locked/>
    <w:uiPriority w:val="0"/>
    <w:rPr>
      <w:rFonts w:ascii="方正小标宋简体" w:hAnsi="Arial" w:eastAsia="方正小标宋简体" w:cs="Arial"/>
      <w:bCs/>
      <w:snapToGrid w:val="0"/>
      <w:kern w:val="44"/>
      <w:sz w:val="44"/>
      <w:szCs w:val="44"/>
      <w:lang w:val="en-US" w:eastAsia="zh-CN" w:bidi="ar-SA"/>
    </w:rPr>
  </w:style>
  <w:style w:type="character" w:customStyle="1" w:styleId="49">
    <w:name w:val="heise_12c"/>
    <w:basedOn w:val="34"/>
    <w:qFormat/>
    <w:uiPriority w:val="0"/>
  </w:style>
  <w:style w:type="character" w:customStyle="1" w:styleId="50">
    <w:name w:val="content1"/>
    <w:basedOn w:val="34"/>
    <w:qFormat/>
    <w:uiPriority w:val="0"/>
    <w:rPr>
      <w:sz w:val="21"/>
      <w:szCs w:val="21"/>
    </w:rPr>
  </w:style>
  <w:style w:type="character" w:customStyle="1" w:styleId="51">
    <w:name w:val="Plain Text Char"/>
    <w:basedOn w:val="34"/>
    <w:qFormat/>
    <w:uiPriority w:val="0"/>
    <w:rPr>
      <w:rFonts w:ascii="宋体" w:hAnsi="Courier New" w:eastAsia="宋体" w:cs="Courier New"/>
      <w:sz w:val="21"/>
      <w:szCs w:val="21"/>
    </w:rPr>
  </w:style>
  <w:style w:type="character" w:customStyle="1" w:styleId="52">
    <w:name w:val="apple-style-span"/>
    <w:basedOn w:val="34"/>
    <w:qFormat/>
    <w:uiPriority w:val="0"/>
  </w:style>
  <w:style w:type="character" w:customStyle="1" w:styleId="53">
    <w:name w:val="oalinshistyle21"/>
    <w:basedOn w:val="34"/>
    <w:qFormat/>
    <w:uiPriority w:val="0"/>
    <w:rPr>
      <w:rFonts w:hint="default" w:ascii="Arial" w:hAnsi="Arial" w:cs="Arial"/>
      <w:sz w:val="27"/>
      <w:szCs w:val="27"/>
    </w:rPr>
  </w:style>
  <w:style w:type="character" w:customStyle="1" w:styleId="54">
    <w:name w:val="bz_12"/>
    <w:basedOn w:val="34"/>
    <w:qFormat/>
    <w:uiPriority w:val="0"/>
  </w:style>
  <w:style w:type="character" w:customStyle="1" w:styleId="55">
    <w:name w:val="font1"/>
    <w:basedOn w:val="34"/>
    <w:qFormat/>
    <w:uiPriority w:val="0"/>
    <w:rPr>
      <w:sz w:val="18"/>
      <w:szCs w:val="18"/>
    </w:rPr>
  </w:style>
  <w:style w:type="character" w:customStyle="1" w:styleId="56">
    <w:name w:val="样式1 Char Char"/>
    <w:basedOn w:val="34"/>
    <w:link w:val="57"/>
    <w:qFormat/>
    <w:uiPriority w:val="0"/>
    <w:rPr>
      <w:rFonts w:ascii="方正小标宋简体" w:hAnsi="Calibri" w:eastAsia="方正小标宋简体"/>
      <w:kern w:val="2"/>
      <w:sz w:val="44"/>
      <w:szCs w:val="44"/>
      <w:lang w:val="en-US" w:eastAsia="zh-CN" w:bidi="ar-SA"/>
    </w:rPr>
  </w:style>
  <w:style w:type="paragraph" w:customStyle="1" w:styleId="57">
    <w:name w:val="样式1"/>
    <w:basedOn w:val="1"/>
    <w:link w:val="56"/>
    <w:qFormat/>
    <w:uiPriority w:val="0"/>
    <w:pPr>
      <w:jc w:val="center"/>
    </w:pPr>
    <w:rPr>
      <w:rFonts w:ascii="方正小标宋简体" w:hAnsi="Calibri" w:eastAsia="方正小标宋简体"/>
      <w:kern w:val="2"/>
      <w:sz w:val="44"/>
      <w:szCs w:val="44"/>
    </w:rPr>
  </w:style>
  <w:style w:type="paragraph" w:customStyle="1" w:styleId="58">
    <w:name w:val="List Paragraph1"/>
    <w:basedOn w:val="1"/>
    <w:qFormat/>
    <w:uiPriority w:val="0"/>
    <w:pPr>
      <w:ind w:firstLine="420" w:firstLineChars="200"/>
    </w:pPr>
    <w:rPr>
      <w:rFonts w:ascii="Calibri" w:hAnsi="Calibri" w:eastAsia="宋体" w:cs="Calibri"/>
      <w:snapToGrid/>
      <w:kern w:val="2"/>
      <w:sz w:val="21"/>
      <w:szCs w:val="21"/>
    </w:rPr>
  </w:style>
  <w:style w:type="paragraph" w:customStyle="1" w:styleId="59">
    <w:name w:val="Char1 Char Char Char"/>
    <w:basedOn w:val="1"/>
    <w:qFormat/>
    <w:uiPriority w:val="0"/>
  </w:style>
  <w:style w:type="paragraph" w:customStyle="1" w:styleId="60">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1 Char Char Char1"/>
    <w:basedOn w:val="1"/>
    <w:qFormat/>
    <w:uiPriority w:val="0"/>
    <w:rPr>
      <w:rFonts w:ascii="Tahoma" w:hAnsi="Tahoma" w:eastAsia="宋体"/>
      <w:snapToGrid/>
      <w:kern w:val="2"/>
      <w:sz w:val="24"/>
      <w:szCs w:val="20"/>
    </w:rPr>
  </w:style>
  <w:style w:type="paragraph" w:customStyle="1" w:styleId="62">
    <w:name w:val="样式 正文缩进正文（首行缩进两字）正文（首行缩进两字） Char Char Char Char Char Char Char..."/>
    <w:basedOn w:val="8"/>
    <w:qFormat/>
    <w:uiPriority w:val="0"/>
    <w:pPr>
      <w:spacing w:line="312" w:lineRule="auto"/>
      <w:ind w:firstLine="539" w:firstLineChars="0"/>
    </w:pPr>
    <w:rPr>
      <w:rFonts w:ascii="Times New Roman" w:hAnsi="Times New Roman" w:eastAsia="宋体" w:cs="宋体"/>
      <w:snapToGrid/>
      <w:kern w:val="2"/>
      <w:sz w:val="28"/>
      <w:szCs w:val="20"/>
    </w:rPr>
  </w:style>
  <w:style w:type="paragraph" w:customStyle="1" w:styleId="63">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snapToGrid/>
      <w:kern w:val="0"/>
      <w:sz w:val="24"/>
      <w:szCs w:val="20"/>
      <w:lang w:eastAsia="en-US"/>
    </w:rPr>
  </w:style>
  <w:style w:type="paragraph" w:customStyle="1" w:styleId="64">
    <w:name w:val="Char Char Char Char Char Char Char Char Char Char Char Char1 Char Char Char Char"/>
    <w:basedOn w:val="1"/>
    <w:qFormat/>
    <w:uiPriority w:val="0"/>
    <w:pPr>
      <w:tabs>
        <w:tab w:val="left" w:pos="432"/>
      </w:tabs>
      <w:spacing w:line="400" w:lineRule="exact"/>
      <w:ind w:left="432" w:hanging="432"/>
    </w:pPr>
    <w:rPr>
      <w:rFonts w:ascii="Times New Roman" w:hAnsi="Times New Roman" w:eastAsia="宋体"/>
      <w:snapToGrid/>
      <w:kern w:val="2"/>
      <w:sz w:val="21"/>
      <w:szCs w:val="20"/>
    </w:rPr>
  </w:style>
  <w:style w:type="paragraph" w:customStyle="1" w:styleId="65">
    <w:name w:val="规划正文"/>
    <w:basedOn w:val="1"/>
    <w:qFormat/>
    <w:uiPriority w:val="0"/>
    <w:pPr>
      <w:spacing w:after="156" w:afterLines="50" w:line="480" w:lineRule="exact"/>
      <w:ind w:firstLine="200" w:firstLineChars="200"/>
    </w:pPr>
    <w:rPr>
      <w:rFonts w:ascii="仿宋_GB2312" w:hAnsi="Times New Roman"/>
      <w:snapToGrid/>
      <w:kern w:val="2"/>
      <w:sz w:val="30"/>
      <w:szCs w:val="30"/>
    </w:rPr>
  </w:style>
  <w:style w:type="paragraph" w:customStyle="1" w:styleId="66">
    <w:name w:val="样式 三号 首行缩进:  1.13 厘米 行距: 多倍行距 1.25 字行"/>
    <w:basedOn w:val="1"/>
    <w:qFormat/>
    <w:uiPriority w:val="0"/>
    <w:pPr>
      <w:adjustRightInd w:val="0"/>
      <w:snapToGrid w:val="0"/>
      <w:spacing w:line="360" w:lineRule="auto"/>
      <w:ind w:firstLine="200" w:firstLineChars="200"/>
    </w:pPr>
    <w:rPr>
      <w:rFonts w:ascii="Times New Roman" w:hAnsi="Times New Roman"/>
      <w:snapToGrid/>
      <w:kern w:val="2"/>
    </w:rPr>
  </w:style>
  <w:style w:type="paragraph" w:customStyle="1" w:styleId="67">
    <w:name w:val="Char Char2 Char"/>
    <w:basedOn w:val="1"/>
    <w:qFormat/>
    <w:uiPriority w:val="0"/>
    <w:rPr>
      <w:rFonts w:eastAsia="宋体" w:cs="Courier New"/>
      <w:snapToGrid/>
      <w:kern w:val="2"/>
    </w:rPr>
  </w:style>
  <w:style w:type="paragraph" w:customStyle="1" w:styleId="68">
    <w:name w:val="封面副标题"/>
    <w:qFormat/>
    <w:uiPriority w:val="0"/>
    <w:pPr>
      <w:adjustRightInd w:val="0"/>
      <w:snapToGrid w:val="0"/>
      <w:spacing w:before="156" w:beforeLines="50" w:line="360" w:lineRule="auto"/>
      <w:jc w:val="center"/>
    </w:pPr>
    <w:rPr>
      <w:rFonts w:ascii="Times New Roman" w:hAnsi="Times New Roman" w:eastAsia="黑体" w:cs="Times New Roman"/>
      <w:b/>
      <w:snapToGrid w:val="0"/>
      <w:spacing w:val="20"/>
      <w:sz w:val="52"/>
      <w:lang w:val="en-US" w:eastAsia="zh-CN" w:bidi="ar-SA"/>
    </w:rPr>
  </w:style>
  <w:style w:type="paragraph" w:customStyle="1" w:styleId="69">
    <w:name w:val="ddddd"/>
    <w:basedOn w:val="1"/>
    <w:qFormat/>
    <w:uiPriority w:val="0"/>
    <w:pPr>
      <w:pageBreakBefore/>
    </w:pPr>
    <w:rPr>
      <w:rFonts w:ascii="Times New Roman" w:hAnsi="Times New Roman" w:eastAsia="宋体"/>
      <w:snapToGrid/>
      <w:kern w:val="2"/>
      <w:sz w:val="21"/>
      <w:szCs w:val="20"/>
    </w:rPr>
  </w:style>
  <w:style w:type="paragraph" w:customStyle="1" w:styleId="70">
    <w:name w:val="默认段落字体 Para Char Char Char Char Char Char Char"/>
    <w:basedOn w:val="10"/>
    <w:qFormat/>
    <w:uiPriority w:val="0"/>
    <w:pPr>
      <w:adjustRightInd w:val="0"/>
      <w:spacing w:line="436" w:lineRule="exact"/>
      <w:ind w:left="357"/>
      <w:jc w:val="left"/>
      <w:outlineLvl w:val="3"/>
    </w:pPr>
    <w:rPr>
      <w:rFonts w:ascii="Tahoma" w:hAnsi="Tahoma" w:eastAsia="宋体"/>
      <w:b/>
      <w:snapToGrid/>
      <w:kern w:val="2"/>
      <w:sz w:val="24"/>
      <w:szCs w:val="24"/>
    </w:rPr>
  </w:style>
  <w:style w:type="paragraph" w:customStyle="1" w:styleId="71">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72">
    <w:name w:val="Char Char1"/>
    <w:basedOn w:val="10"/>
    <w:qFormat/>
    <w:uiPriority w:val="0"/>
    <w:rPr>
      <w:rFonts w:ascii="Tahoma" w:hAnsi="Tahoma" w:eastAsia="宋体"/>
      <w:snapToGrid/>
      <w:kern w:val="2"/>
      <w:sz w:val="24"/>
      <w:szCs w:val="24"/>
    </w:rPr>
  </w:style>
  <w:style w:type="paragraph" w:customStyle="1" w:styleId="73">
    <w:name w:val="Char Char Char Char"/>
    <w:basedOn w:val="1"/>
    <w:qFormat/>
    <w:uiPriority w:val="0"/>
    <w:rPr>
      <w:rFonts w:ascii="Times New Roman" w:hAnsi="Times New Roman" w:eastAsia="宋体"/>
      <w:snapToGrid/>
      <w:kern w:val="2"/>
      <w:sz w:val="21"/>
      <w:szCs w:val="24"/>
    </w:rPr>
  </w:style>
  <w:style w:type="paragraph" w:customStyle="1" w:styleId="74">
    <w:name w:val="首信标准正文"/>
    <w:basedOn w:val="1"/>
    <w:qFormat/>
    <w:uiPriority w:val="0"/>
    <w:pPr>
      <w:spacing w:line="360" w:lineRule="auto"/>
    </w:pPr>
    <w:rPr>
      <w:rFonts w:ascii="Tahoma" w:hAnsi="Tahoma" w:eastAsia="宋体"/>
      <w:snapToGrid/>
      <w:kern w:val="2"/>
      <w:sz w:val="24"/>
      <w:szCs w:val="20"/>
    </w:rPr>
  </w:style>
  <w:style w:type="paragraph" w:customStyle="1" w:styleId="75">
    <w:name w:val="默认段落字体 Para Char Char Char2 Char Char Char Char Char Char Char Char Char Char"/>
    <w:basedOn w:val="1"/>
    <w:qFormat/>
    <w:uiPriority w:val="0"/>
    <w:rPr>
      <w:rFonts w:eastAsia="宋体" w:cs="Courier New"/>
      <w:snapToGrid/>
      <w:kern w:val="2"/>
    </w:rPr>
  </w:style>
  <w:style w:type="paragraph" w:customStyle="1" w:styleId="76">
    <w:name w:val="Char"/>
    <w:basedOn w:val="1"/>
    <w:qFormat/>
    <w:uiPriority w:val="0"/>
    <w:pPr>
      <w:widowControl/>
      <w:spacing w:after="160" w:line="240" w:lineRule="exact"/>
      <w:jc w:val="left"/>
    </w:pPr>
    <w:rPr>
      <w:rFonts w:ascii="Verdana" w:hAnsi="Verdana"/>
      <w:snapToGrid/>
      <w:kern w:val="0"/>
      <w:sz w:val="24"/>
      <w:szCs w:val="20"/>
      <w:lang w:eastAsia="en-US"/>
    </w:rPr>
  </w:style>
  <w:style w:type="paragraph" w:customStyle="1" w:styleId="77">
    <w:name w:val="Char Char Char Char Char Char Char Char Char Char"/>
    <w:basedOn w:val="1"/>
    <w:qFormat/>
    <w:uiPriority w:val="0"/>
    <w:rPr>
      <w:rFonts w:ascii="Tahoma" w:hAnsi="Tahoma" w:eastAsia="宋体"/>
      <w:snapToGrid/>
      <w:kern w:val="2"/>
      <w:sz w:val="24"/>
      <w:szCs w:val="20"/>
    </w:rPr>
  </w:style>
  <w:style w:type="paragraph" w:customStyle="1" w:styleId="78">
    <w:name w:val="cjk"/>
    <w:basedOn w:val="1"/>
    <w:qFormat/>
    <w:uiPriority w:val="0"/>
    <w:pPr>
      <w:widowControl/>
      <w:spacing w:before="100" w:beforeAutospacing="1"/>
      <w:jc w:val="center"/>
    </w:pPr>
    <w:rPr>
      <w:rFonts w:eastAsia="宋体"/>
      <w:b/>
      <w:bCs/>
      <w:snapToGrid/>
      <w:kern w:val="0"/>
    </w:rPr>
  </w:style>
  <w:style w:type="paragraph" w:customStyle="1" w:styleId="79">
    <w:name w:val="Char Char Char Char1"/>
    <w:basedOn w:val="1"/>
    <w:qFormat/>
    <w:uiPriority w:val="0"/>
    <w:pPr>
      <w:adjustRightInd w:val="0"/>
      <w:spacing w:line="360" w:lineRule="auto"/>
    </w:pPr>
    <w:rPr>
      <w:rFonts w:ascii="Times New Roman" w:hAnsi="Times New Roman" w:eastAsia="宋体"/>
      <w:snapToGrid/>
      <w:kern w:val="0"/>
      <w:sz w:val="24"/>
      <w:szCs w:val="20"/>
    </w:rPr>
  </w:style>
  <w:style w:type="paragraph" w:customStyle="1" w:styleId="80">
    <w:name w:val="列表段落1"/>
    <w:basedOn w:val="1"/>
    <w:qFormat/>
    <w:uiPriority w:val="0"/>
    <w:pPr>
      <w:ind w:firstLine="420" w:firstLineChars="200"/>
    </w:pPr>
    <w:rPr>
      <w:rFonts w:ascii="Calibri" w:hAnsi="Calibri" w:eastAsia="宋体"/>
      <w:snapToGrid/>
      <w:kern w:val="2"/>
      <w:sz w:val="21"/>
      <w:szCs w:val="22"/>
    </w:rPr>
  </w:style>
  <w:style w:type="paragraph" w:customStyle="1" w:styleId="81">
    <w:name w:val="正文（基准，首行不缩进）"/>
    <w:qFormat/>
    <w:uiPriority w:val="0"/>
    <w:pPr>
      <w:widowControl w:val="0"/>
      <w:autoSpaceDE w:val="0"/>
      <w:autoSpaceDN w:val="0"/>
      <w:adjustRightInd w:val="0"/>
      <w:jc w:val="both"/>
    </w:pPr>
    <w:rPr>
      <w:rFonts w:ascii="Times New Roman" w:hAnsi="Times New Roman" w:eastAsia="宋体" w:cs="Times New Roman"/>
      <w:sz w:val="21"/>
      <w:lang w:val="en-US" w:eastAsia="zh-CN" w:bidi="ar-SA"/>
    </w:rPr>
  </w:style>
  <w:style w:type="paragraph" w:customStyle="1" w:styleId="82">
    <w:name w:val="WW-正文文字缩进 2"/>
    <w:basedOn w:val="1"/>
    <w:qFormat/>
    <w:uiPriority w:val="0"/>
    <w:pPr>
      <w:suppressAutoHyphens/>
      <w:spacing w:line="276" w:lineRule="auto"/>
      <w:ind w:firstLine="630"/>
    </w:pPr>
    <w:rPr>
      <w:rFonts w:ascii="楷体_GB2312" w:hAnsi="楷体_GB2312" w:eastAsia="宋体"/>
      <w:snapToGrid/>
      <w:kern w:val="1"/>
      <w:szCs w:val="20"/>
    </w:rPr>
  </w:style>
  <w:style w:type="paragraph" w:customStyle="1" w:styleId="83">
    <w:name w:val="Char11"/>
    <w:basedOn w:val="1"/>
    <w:qFormat/>
    <w:uiPriority w:val="0"/>
    <w:rPr>
      <w:rFonts w:eastAsia="宋体" w:cs="Courier New"/>
      <w:snapToGrid/>
      <w:kern w:val="2"/>
    </w:rPr>
  </w:style>
  <w:style w:type="paragraph" w:customStyle="1" w:styleId="84">
    <w:name w:val="Char Char Char Char Char Char"/>
    <w:basedOn w:val="1"/>
    <w:qFormat/>
    <w:uiPriority w:val="0"/>
    <w:pPr>
      <w:widowControl/>
      <w:spacing w:after="160" w:line="240" w:lineRule="exact"/>
      <w:jc w:val="left"/>
    </w:pPr>
    <w:rPr>
      <w:rFonts w:ascii="Arial" w:hAnsi="Arial" w:eastAsia="Times New Roman" w:cs="Verdana"/>
      <w:b/>
      <w:snapToGrid/>
      <w:kern w:val="0"/>
      <w:sz w:val="24"/>
      <w:szCs w:val="20"/>
      <w:lang w:eastAsia="en-US"/>
    </w:rPr>
  </w:style>
  <w:style w:type="paragraph" w:customStyle="1" w:styleId="85">
    <w:name w:val="Char Char Char Char Char Char Char Char Char Char Char Char Char"/>
    <w:basedOn w:val="1"/>
    <w:qFormat/>
    <w:uiPriority w:val="0"/>
    <w:rPr>
      <w:rFonts w:ascii="Tahoma" w:hAnsi="Tahoma" w:eastAsia="宋体"/>
      <w:snapToGrid/>
      <w:kern w:val="2"/>
      <w:sz w:val="24"/>
      <w:szCs w:val="20"/>
    </w:rPr>
  </w:style>
  <w:style w:type="paragraph" w:customStyle="1" w:styleId="86">
    <w:name w:val="Char2 Char Char Char Char Char Char"/>
    <w:basedOn w:val="1"/>
    <w:qFormat/>
    <w:uiPriority w:val="0"/>
    <w:pPr>
      <w:snapToGrid w:val="0"/>
      <w:spacing w:line="360" w:lineRule="auto"/>
      <w:ind w:firstLine="200" w:firstLineChars="200"/>
    </w:pPr>
    <w:rPr>
      <w:rFonts w:ascii="Times New Roman" w:hAnsi="Times New Roman"/>
      <w:snapToGrid/>
      <w:kern w:val="2"/>
      <w:sz w:val="24"/>
      <w:szCs w:val="24"/>
    </w:rPr>
  </w:style>
  <w:style w:type="paragraph" w:customStyle="1" w:styleId="87">
    <w:name w:val="Char Char Char Char Char Char Char"/>
    <w:basedOn w:val="1"/>
    <w:qFormat/>
    <w:uiPriority w:val="0"/>
    <w:rPr>
      <w:rFonts w:eastAsia="宋体" w:cs="Courier New"/>
      <w:snapToGrid/>
      <w:kern w:val="2"/>
    </w:rPr>
  </w:style>
  <w:style w:type="paragraph" w:customStyle="1" w:styleId="88">
    <w:name w:val="Char Char Char Char Char Char Char Char Char Char Char Char Char Char Char Char"/>
    <w:basedOn w:val="1"/>
    <w:qFormat/>
    <w:uiPriority w:val="0"/>
    <w:pPr>
      <w:jc w:val="center"/>
    </w:pPr>
    <w:rPr>
      <w:rFonts w:ascii="Tahoma" w:hAnsi="Tahoma" w:eastAsia="宋体"/>
      <w:snapToGrid/>
      <w:kern w:val="2"/>
      <w:sz w:val="24"/>
      <w:szCs w:val="20"/>
    </w:rPr>
  </w:style>
  <w:style w:type="paragraph" w:customStyle="1" w:styleId="89">
    <w:name w:val="Char1"/>
    <w:basedOn w:val="1"/>
    <w:qFormat/>
    <w:uiPriority w:val="0"/>
    <w:rPr>
      <w:rFonts w:ascii="Tahoma" w:hAnsi="Tahoma" w:eastAsia="宋体"/>
      <w:snapToGrid/>
      <w:kern w:val="2"/>
      <w:sz w:val="24"/>
      <w:szCs w:val="20"/>
    </w:rPr>
  </w:style>
  <w:style w:type="paragraph" w:customStyle="1" w:styleId="90">
    <w:name w:val="默认段落字体 Para Char Char Char Char"/>
    <w:basedOn w:val="1"/>
    <w:qFormat/>
    <w:uiPriority w:val="0"/>
    <w:rPr>
      <w:rFonts w:ascii="Times New Roman" w:hAnsi="Times New Roman" w:eastAsia="宋体"/>
      <w:snapToGrid/>
      <w:kern w:val="2"/>
      <w:sz w:val="21"/>
      <w:szCs w:val="24"/>
    </w:rPr>
  </w:style>
  <w:style w:type="paragraph" w:customStyle="1" w:styleId="91">
    <w:name w:val="msolistparagraph"/>
    <w:basedOn w:val="1"/>
    <w:qFormat/>
    <w:uiPriority w:val="0"/>
    <w:pPr>
      <w:widowControl/>
      <w:spacing w:before="100" w:beforeAutospacing="1" w:after="100" w:afterAutospacing="1"/>
      <w:jc w:val="left"/>
    </w:pPr>
    <w:rPr>
      <w:rFonts w:eastAsia="宋体" w:cs="宋体"/>
      <w:snapToGrid/>
      <w:kern w:val="0"/>
      <w:sz w:val="24"/>
      <w:szCs w:val="24"/>
    </w:rPr>
  </w:style>
  <w:style w:type="character" w:customStyle="1" w:styleId="92">
    <w:name w:val="content"/>
    <w:basedOn w:val="34"/>
    <w:qFormat/>
    <w:uiPriority w:val="0"/>
  </w:style>
  <w:style w:type="paragraph" w:customStyle="1" w:styleId="93">
    <w:name w:val="主题词"/>
    <w:basedOn w:val="1"/>
    <w:qFormat/>
    <w:uiPriority w:val="0"/>
    <w:pPr>
      <w:jc w:val="left"/>
    </w:pPr>
    <w:rPr>
      <w:rFonts w:ascii="Times New Roman" w:hAnsi="Times New Roman" w:eastAsia="宋体"/>
      <w:snapToGrid/>
      <w:kern w:val="2"/>
      <w:szCs w:val="20"/>
    </w:rPr>
  </w:style>
  <w:style w:type="paragraph" w:customStyle="1" w:styleId="94">
    <w:name w:val="我的正文"/>
    <w:basedOn w:val="1"/>
    <w:qFormat/>
    <w:uiPriority w:val="0"/>
    <w:pPr>
      <w:ind w:firstLine="200" w:firstLineChars="200"/>
    </w:pPr>
    <w:rPr>
      <w:rFonts w:ascii="Calibri" w:hAnsi="Calibri" w:eastAsia="宋体"/>
      <w:snapToGrid/>
      <w:kern w:val="2"/>
      <w:sz w:val="24"/>
      <w:szCs w:val="22"/>
    </w:rPr>
  </w:style>
  <w:style w:type="paragraph" w:customStyle="1" w:styleId="9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96">
    <w:name w:val="msonormalcxspmiddle"/>
    <w:basedOn w:val="1"/>
    <w:qFormat/>
    <w:uiPriority w:val="0"/>
    <w:pPr>
      <w:widowControl/>
      <w:spacing w:before="100" w:beforeAutospacing="1" w:after="100" w:afterAutospacing="1"/>
      <w:jc w:val="left"/>
    </w:pPr>
    <w:rPr>
      <w:rFonts w:eastAsia="宋体" w:cs="宋体"/>
      <w:snapToGrid/>
      <w:kern w:val="0"/>
      <w:sz w:val="24"/>
      <w:szCs w:val="24"/>
    </w:rPr>
  </w:style>
  <w:style w:type="paragraph" w:customStyle="1" w:styleId="97">
    <w:name w:val="!BECC正文"/>
    <w:basedOn w:val="1"/>
    <w:link w:val="98"/>
    <w:qFormat/>
    <w:uiPriority w:val="0"/>
    <w:pPr>
      <w:tabs>
        <w:tab w:val="left" w:pos="0"/>
      </w:tabs>
      <w:spacing w:beforeLines="50" w:afterLines="50" w:line="360" w:lineRule="auto"/>
      <w:ind w:firstLine="480" w:firstLineChars="200"/>
      <w:contextualSpacing/>
    </w:pPr>
    <w:rPr>
      <w:rFonts w:ascii="Times New Roman" w:hAnsi="Times New Roman" w:eastAsia="宋体"/>
      <w:snapToGrid/>
      <w:kern w:val="0"/>
      <w:sz w:val="24"/>
      <w:szCs w:val="24"/>
    </w:rPr>
  </w:style>
  <w:style w:type="character" w:customStyle="1" w:styleId="98">
    <w:name w:val="!BECC正文 Char"/>
    <w:link w:val="97"/>
    <w:qFormat/>
    <w:uiPriority w:val="0"/>
    <w:rPr>
      <w:rFonts w:eastAsia="宋体"/>
      <w:sz w:val="24"/>
      <w:szCs w:val="24"/>
      <w:lang w:bidi="ar-SA"/>
    </w:rPr>
  </w:style>
  <w:style w:type="paragraph" w:customStyle="1" w:styleId="99">
    <w:name w:val="WW-日期"/>
    <w:basedOn w:val="1"/>
    <w:next w:val="1"/>
    <w:qFormat/>
    <w:uiPriority w:val="0"/>
    <w:pPr>
      <w:suppressAutoHyphens/>
    </w:pPr>
    <w:rPr>
      <w:rFonts w:ascii="仿宋_GB2312" w:hAnsi="仿宋_GB2312"/>
      <w:snapToGrid/>
      <w:kern w:val="1"/>
      <w:szCs w:val="24"/>
    </w:rPr>
  </w:style>
  <w:style w:type="paragraph" w:customStyle="1" w:styleId="100">
    <w:name w:val="正文 New"/>
    <w:qFormat/>
    <w:uiPriority w:val="0"/>
    <w:pPr>
      <w:widowControl w:val="0"/>
      <w:jc w:val="both"/>
    </w:pPr>
    <w:rPr>
      <w:rFonts w:ascii="Times New Roman" w:hAnsi="Times New Roman" w:eastAsia="楷体_GB2312" w:cs="Times New Roman"/>
      <w:kern w:val="2"/>
      <w:sz w:val="32"/>
      <w:lang w:val="en-US" w:eastAsia="zh-CN" w:bidi="ar-SA"/>
    </w:rPr>
  </w:style>
  <w:style w:type="paragraph" w:customStyle="1" w:styleId="101">
    <w:name w:val="正文 New New New New New New New New New New New New New New New New New New New New New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102">
    <w:name w:val="正文 New New New New New New New New New New New New New New New New New New New New New New New New New New"/>
    <w:qFormat/>
    <w:uiPriority w:val="0"/>
    <w:pPr>
      <w:widowControl w:val="0"/>
      <w:snapToGrid w:val="0"/>
      <w:jc w:val="both"/>
    </w:pPr>
    <w:rPr>
      <w:rFonts w:ascii="宋体" w:hAnsi="宋体" w:eastAsia="仿宋_GB2312" w:cs="Times New Roman"/>
      <w:kern w:val="32"/>
      <w:sz w:val="32"/>
      <w:szCs w:val="32"/>
      <w:lang w:val="en-US" w:eastAsia="zh-CN" w:bidi="ar-SA"/>
    </w:rPr>
  </w:style>
  <w:style w:type="paragraph" w:customStyle="1" w:styleId="103">
    <w:name w:val="正文 New New New"/>
    <w:qFormat/>
    <w:uiPriority w:val="0"/>
    <w:pPr>
      <w:widowControl w:val="0"/>
      <w:jc w:val="both"/>
    </w:pPr>
    <w:rPr>
      <w:rFonts w:ascii="宋体" w:hAnsi="宋体" w:eastAsia="楷体_GB2312" w:cs="Times New Roman"/>
      <w:kern w:val="2"/>
      <w:sz w:val="32"/>
      <w:lang w:val="en-US" w:eastAsia="zh-CN" w:bidi="ar-SA"/>
    </w:rPr>
  </w:style>
  <w:style w:type="character" w:customStyle="1" w:styleId="104">
    <w:name w:val="标题 1 Char New"/>
    <w:basedOn w:val="34"/>
    <w:link w:val="105"/>
    <w:qFormat/>
    <w:locked/>
    <w:uiPriority w:val="0"/>
    <w:rPr>
      <w:rFonts w:ascii="宋体" w:hAnsi="宋体"/>
      <w:b/>
      <w:kern w:val="36"/>
      <w:sz w:val="48"/>
      <w:lang w:bidi="ar-SA"/>
    </w:rPr>
  </w:style>
  <w:style w:type="paragraph" w:customStyle="1" w:styleId="105">
    <w:name w:val="标题 11"/>
    <w:basedOn w:val="1"/>
    <w:link w:val="104"/>
    <w:qFormat/>
    <w:uiPriority w:val="0"/>
    <w:pPr>
      <w:spacing w:before="100" w:beforeAutospacing="1" w:after="100" w:afterAutospacing="1" w:line="336" w:lineRule="auto"/>
      <w:outlineLvl w:val="0"/>
    </w:pPr>
    <w:rPr>
      <w:rFonts w:eastAsia="Times New Roman"/>
      <w:b/>
      <w:snapToGrid/>
      <w:kern w:val="36"/>
      <w:sz w:val="48"/>
      <w:szCs w:val="20"/>
    </w:rPr>
  </w:style>
  <w:style w:type="character" w:customStyle="1" w:styleId="106">
    <w:name w:val="段 Char"/>
    <w:link w:val="107"/>
    <w:qFormat/>
    <w:uiPriority w:val="0"/>
    <w:rPr>
      <w:rFonts w:ascii="宋体" w:eastAsia="Times New Roman"/>
      <w:sz w:val="21"/>
      <w:lang w:val="en-US" w:eastAsia="zh-CN" w:bidi="ar-SA"/>
    </w:rPr>
  </w:style>
  <w:style w:type="paragraph" w:customStyle="1" w:styleId="107">
    <w:name w:val="段"/>
    <w:link w:val="106"/>
    <w:qFormat/>
    <w:uiPriority w:val="0"/>
    <w:pPr>
      <w:tabs>
        <w:tab w:val="center" w:pos="4201"/>
        <w:tab w:val="right" w:leader="dot" w:pos="9298"/>
      </w:tabs>
      <w:autoSpaceDE w:val="0"/>
      <w:autoSpaceDN w:val="0"/>
      <w:ind w:firstLine="420" w:firstLineChars="200"/>
      <w:jc w:val="both"/>
    </w:pPr>
    <w:rPr>
      <w:rFonts w:ascii="宋体" w:hAnsi="Times New Roman" w:eastAsia="Times New Roman" w:cs="Times New Roman"/>
      <w:sz w:val="21"/>
      <w:lang w:val="en-US" w:eastAsia="zh-CN" w:bidi="ar-SA"/>
    </w:rPr>
  </w:style>
  <w:style w:type="paragraph" w:customStyle="1" w:styleId="108">
    <w:name w:val="Char Char Char Char Char Char Char1"/>
    <w:basedOn w:val="1"/>
    <w:qFormat/>
    <w:uiPriority w:val="0"/>
    <w:rPr>
      <w:rFonts w:ascii="Tahoma" w:hAnsi="Tahoma" w:eastAsia="宋体"/>
      <w:snapToGrid/>
      <w:kern w:val="2"/>
      <w:sz w:val="24"/>
      <w:szCs w:val="20"/>
    </w:rPr>
  </w:style>
  <w:style w:type="paragraph" w:customStyle="1" w:styleId="109">
    <w:name w:val="列出段落1"/>
    <w:basedOn w:val="1"/>
    <w:qFormat/>
    <w:uiPriority w:val="34"/>
    <w:pPr>
      <w:ind w:firstLine="420" w:firstLineChars="200"/>
    </w:pPr>
    <w:rPr>
      <w:rFonts w:ascii="Calibri" w:hAnsi="Calibri" w:eastAsia="宋体"/>
      <w:snapToGrid/>
      <w:kern w:val="2"/>
      <w:sz w:val="21"/>
      <w:szCs w:val="22"/>
    </w:rPr>
  </w:style>
  <w:style w:type="paragraph" w:customStyle="1" w:styleId="110">
    <w:name w:val="修订1"/>
    <w:hidden/>
    <w:semiHidden/>
    <w:qFormat/>
    <w:uiPriority w:val="99"/>
    <w:rPr>
      <w:rFonts w:ascii="宋体" w:hAnsi="宋体" w:eastAsia="仿宋_GB2312" w:cs="Times New Roman"/>
      <w:snapToGrid w:val="0"/>
      <w:kern w:val="32"/>
      <w:sz w:val="32"/>
      <w:szCs w:val="32"/>
      <w:lang w:val="en-US" w:eastAsia="zh-CN" w:bidi="ar-SA"/>
    </w:rPr>
  </w:style>
  <w:style w:type="paragraph" w:customStyle="1" w:styleId="111">
    <w:name w:val="_Style 5"/>
    <w:basedOn w:val="1"/>
    <w:qFormat/>
    <w:uiPriority w:val="0"/>
    <w:pPr>
      <w:ind w:firstLine="420" w:firstLineChars="200"/>
    </w:pPr>
    <w:rPr>
      <w:rFonts w:ascii="Calibri" w:hAnsi="Calibri" w:eastAsia="宋体" w:cs="Calibri"/>
      <w:snapToGrid/>
      <w:kern w:val="2"/>
      <w:sz w:val="21"/>
      <w:szCs w:val="21"/>
    </w:rPr>
  </w:style>
  <w:style w:type="character" w:customStyle="1" w:styleId="112">
    <w:name w:val="15"/>
    <w:basedOn w:val="34"/>
    <w:qFormat/>
    <w:uiPriority w:val="0"/>
    <w:rPr>
      <w:rFonts w:hint="default" w:ascii="Times New Roman" w:hAnsi="Times New Roman" w:cs="Times New Roman"/>
    </w:rPr>
  </w:style>
  <w:style w:type="character" w:customStyle="1" w:styleId="113">
    <w:name w:val="NormalCharacter"/>
    <w:link w:val="114"/>
    <w:qFormat/>
    <w:uiPriority w:val="0"/>
  </w:style>
  <w:style w:type="paragraph" w:customStyle="1" w:styleId="114">
    <w:name w:val="UserStyle_19"/>
    <w:basedOn w:val="1"/>
    <w:link w:val="113"/>
    <w:qFormat/>
    <w:uiPriority w:val="0"/>
    <w:pPr>
      <w:textAlignment w:val="baseline"/>
    </w:pPr>
  </w:style>
  <w:style w:type="character" w:customStyle="1" w:styleId="115">
    <w:name w:val="批注文字 字符"/>
    <w:basedOn w:val="34"/>
    <w:link w:val="11"/>
    <w:qFormat/>
    <w:uiPriority w:val="0"/>
    <w:rPr>
      <w:kern w:val="2"/>
      <w:sz w:val="21"/>
    </w:rPr>
  </w:style>
  <w:style w:type="character" w:customStyle="1" w:styleId="116">
    <w:name w:val="批注主题 字符"/>
    <w:basedOn w:val="115"/>
    <w:link w:val="31"/>
    <w:qFormat/>
    <w:uiPriority w:val="0"/>
    <w:rPr>
      <w:rFonts w:ascii="宋体" w:hAnsi="宋体" w:eastAsia="仿宋_GB2312"/>
      <w:b/>
      <w:bCs/>
      <w:snapToGrid w:val="0"/>
      <w:kern w:val="32"/>
      <w:sz w:val="32"/>
      <w:szCs w:val="32"/>
    </w:rPr>
  </w:style>
  <w:style w:type="paragraph" w:customStyle="1" w:styleId="117">
    <w:name w:val="修订2"/>
    <w:hidden/>
    <w:unhideWhenUsed/>
    <w:qFormat/>
    <w:uiPriority w:val="99"/>
    <w:rPr>
      <w:rFonts w:ascii="宋体" w:hAnsi="宋体" w:eastAsia="仿宋_GB2312" w:cs="Times New Roman"/>
      <w:snapToGrid w:val="0"/>
      <w:kern w:val="32"/>
      <w:sz w:val="32"/>
      <w:szCs w:val="32"/>
      <w:lang w:val="en-US" w:eastAsia="zh-CN" w:bidi="ar-SA"/>
    </w:rPr>
  </w:style>
  <w:style w:type="paragraph" w:customStyle="1" w:styleId="118">
    <w:name w:val="目录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119">
    <w:name w:val="公文正文"/>
    <w:basedOn w:val="1"/>
    <w:qFormat/>
    <w:uiPriority w:val="0"/>
    <w:pPr>
      <w:adjustRightInd w:val="0"/>
      <w:snapToGrid w:val="0"/>
      <w:spacing w:line="560" w:lineRule="exact"/>
      <w:ind w:firstLine="560" w:firstLineChars="200"/>
    </w:pPr>
  </w:style>
  <w:style w:type="paragraph" w:customStyle="1" w:styleId="120">
    <w:name w:val="修订3"/>
    <w:hidden/>
    <w:unhideWhenUsed/>
    <w:qFormat/>
    <w:uiPriority w:val="99"/>
    <w:rPr>
      <w:rFonts w:ascii="宋体" w:hAnsi="宋体" w:eastAsia="仿宋_GB2312" w:cs="Times New Roman"/>
      <w:snapToGrid w:val="0"/>
      <w:kern w:val="32"/>
      <w:sz w:val="32"/>
      <w:szCs w:val="32"/>
      <w:lang w:val="en-US" w:eastAsia="zh-CN" w:bidi="ar-SA"/>
    </w:rPr>
  </w:style>
  <w:style w:type="paragraph" w:styleId="121">
    <w:name w:val="List Paragraph"/>
    <w:basedOn w:val="1"/>
    <w:unhideWhenUsed/>
    <w:qFormat/>
    <w:uiPriority w:val="99"/>
    <w:pPr>
      <w:ind w:firstLine="420" w:firstLineChars="200"/>
    </w:pPr>
  </w:style>
  <w:style w:type="paragraph" w:customStyle="1" w:styleId="122">
    <w:name w:val="UserStyle_4"/>
    <w:next w:val="1"/>
    <w:qFormat/>
    <w:uiPriority w:val="0"/>
    <w:pPr>
      <w:jc w:val="both"/>
      <w:textAlignment w:val="baseline"/>
    </w:pPr>
    <w:rPr>
      <w:rFonts w:ascii="Calibri" w:hAnsi="Calibri" w:eastAsia="宋体" w:cs="Times New Roman"/>
      <w:sz w:val="21"/>
      <w:szCs w:val="22"/>
      <w:lang w:val="en-US" w:eastAsia="zh-CN" w:bidi="ar-SA"/>
    </w:rPr>
  </w:style>
  <w:style w:type="character" w:customStyle="1" w:styleId="123">
    <w:name w:val="正文文本 字符"/>
    <w:basedOn w:val="34"/>
    <w:link w:val="2"/>
    <w:qFormat/>
    <w:uiPriority w:val="0"/>
    <w:rPr>
      <w:rFonts w:ascii="宋体" w:hAnsi="宋体" w:eastAsia="仿宋_GB2312"/>
      <w:snapToGrid w:val="0"/>
      <w:kern w:val="32"/>
      <w:sz w:val="32"/>
      <w:szCs w:val="32"/>
    </w:rPr>
  </w:style>
  <w:style w:type="paragraph" w:customStyle="1" w:styleId="124">
    <w:name w:val="修订4"/>
    <w:hidden/>
    <w:unhideWhenUsed/>
    <w:qFormat/>
    <w:uiPriority w:val="99"/>
    <w:rPr>
      <w:rFonts w:ascii="宋体" w:hAnsi="宋体" w:eastAsia="仿宋_GB2312" w:cs="Times New Roman"/>
      <w:snapToGrid w:val="0"/>
      <w:kern w:val="32"/>
      <w:sz w:val="32"/>
      <w:szCs w:val="32"/>
      <w:lang w:val="en-US" w:eastAsia="zh-CN" w:bidi="ar-SA"/>
    </w:rPr>
  </w:style>
  <w:style w:type="paragraph" w:customStyle="1" w:styleId="125">
    <w:name w:val="Revision"/>
    <w:hidden/>
    <w:unhideWhenUsed/>
    <w:qFormat/>
    <w:uiPriority w:val="99"/>
    <w:rPr>
      <w:rFonts w:ascii="宋体" w:hAnsi="宋体" w:eastAsia="仿宋_GB2312" w:cs="Times New Roman"/>
      <w:snapToGrid w:val="0"/>
      <w:kern w:val="3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bgs</Company>
  <Pages>14</Pages>
  <Words>5288</Words>
  <Characters>5442</Characters>
  <Lines>149</Lines>
  <Paragraphs>98</Paragraphs>
  <TotalTime>11</TotalTime>
  <ScaleCrop>false</ScaleCrop>
  <LinksUpToDate>false</LinksUpToDate>
  <CharactersWithSpaces>5478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2019-06-14T16:38:00Z</dcterms:created>
  <dc:creator>zy</dc:creator>
  <cp:lastModifiedBy>Milenight</cp:lastModifiedBy>
  <cp:lastPrinted>2025-09-26T02:33:00Z</cp:lastPrinted>
  <dcterms:modified xsi:type="dcterms:W3CDTF">2026-10-08T06:21:39Z</dcterms:modified>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1460FD987CA3DB815D55D2686CD9CA6B</vt:lpwstr>
  </property>
  <property fmtid="{D5CDD505-2E9C-101B-9397-08002B2CF9AE}" pid="4" name="KSOTemplateDocerSaveRecord">
    <vt:lpwstr>eyJoZGlkIjoiMzMxNDdmYWEwZGU5MDU2MTNiMzMzOTlkYjM0NjVkNWQiLCJ1c2VySWQiOiIyNTEzNzQzNzIifQ==</vt:lpwstr>
  </property>
</Properties>
</file>