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316A4">
      <w:pPr>
        <w:spacing w:line="540" w:lineRule="exact"/>
        <w:jc w:val="left"/>
        <w:rPr>
          <w:rFonts w:hint="eastAsia" w:ascii="黑体" w:hAnsi="黑体" w:eastAsia="黑体" w:cs="黑体"/>
          <w:color w:val="000000"/>
        </w:rPr>
      </w:pPr>
      <w:r>
        <w:rPr>
          <w:rFonts w:hint="eastAsia" w:ascii="黑体" w:hAnsi="黑体" w:eastAsia="黑体" w:cs="黑体"/>
          <w:color w:val="000000"/>
        </w:rPr>
        <w:t>附件1</w:t>
      </w:r>
    </w:p>
    <w:p w14:paraId="24A6E1D7">
      <w:pPr>
        <w:snapToGrid w:val="0"/>
        <w:spacing w:line="620" w:lineRule="exact"/>
        <w:jc w:val="center"/>
        <w:rPr>
          <w:rFonts w:hint="eastAsia" w:ascii="方正小标宋简体" w:eastAsia="方正小标宋简体" w:cs="方正小标宋简体"/>
          <w:color w:val="000000"/>
          <w:sz w:val="44"/>
          <w:szCs w:val="44"/>
        </w:rPr>
      </w:pPr>
      <w:r>
        <w:rPr>
          <w:rFonts w:hint="eastAsia" w:ascii="方正小标宋简体" w:eastAsia="方正小标宋简体" w:cs="方正小标宋简体"/>
          <w:color w:val="000000"/>
          <w:sz w:val="44"/>
          <w:szCs w:val="44"/>
        </w:rPr>
        <w:t>北京市2027年电力市场化交易方案</w:t>
      </w:r>
    </w:p>
    <w:p w14:paraId="701308D2">
      <w:pPr>
        <w:spacing w:line="640" w:lineRule="exact"/>
        <w:jc w:val="center"/>
        <w:rPr>
          <w:rFonts w:hint="eastAsia" w:ascii="华文楷体" w:hAnsi="华文楷体" w:eastAsia="华文楷体" w:cs="华文楷体"/>
          <w:b/>
          <w:bCs/>
        </w:rPr>
      </w:pPr>
      <w:r>
        <w:rPr>
          <w:rFonts w:hint="eastAsia" w:ascii="华文楷体" w:hAnsi="华文楷体" w:eastAsia="华文楷体" w:cs="华文楷体"/>
          <w:b/>
          <w:bCs/>
        </w:rPr>
        <w:t>（征求意见稿）</w:t>
      </w:r>
    </w:p>
    <w:p w14:paraId="7FB3AB36">
      <w:pPr>
        <w:pStyle w:val="2"/>
        <w:rPr>
          <w:rFonts w:hint="eastAsia"/>
          <w:color w:val="000000"/>
        </w:rPr>
      </w:pPr>
    </w:p>
    <w:p w14:paraId="2ABC30A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为贯彻落实《国务院办公厅关于完善全国统一电力市场体系的实施意见》（国办发〔2026〕4号）、《</w:t>
      </w:r>
      <w:bookmarkStart w:id="0" w:name="OLE_LINK1"/>
      <w:r>
        <w:rPr>
          <w:rFonts w:hint="eastAsia" w:ascii="仿宋_GB2312" w:hAnsi="仿宋_GB2312" w:cs="仿宋_GB2312"/>
          <w:bCs/>
          <w:color w:val="000000"/>
        </w:rPr>
        <w:t>国家发展改革委、国家能源局关于印发〈电力中长期市场基本规则〉的通知</w:t>
      </w:r>
      <w:bookmarkEnd w:id="0"/>
      <w:r>
        <w:rPr>
          <w:rFonts w:hint="eastAsia" w:ascii="仿宋_GB2312" w:hAnsi="仿宋_GB2312" w:cs="仿宋_GB2312"/>
          <w:bCs/>
          <w:color w:val="000000"/>
        </w:rPr>
        <w:t>》（发改能源规〔2025〕1656号）、《国家发展改革委、国家能源局关于做好2027年电力中长期合同签约履约工作的通知》（发改运行〔2026〕XX号，待印发）等文件要求，持续做好北京地区电力市场化改革，充分发挥电力中长期交易压舱石、稳定器作用，稳妥推进北京市2027年电力市场化直接交易工作，结合北京市实际，特制定本方案。</w:t>
      </w:r>
    </w:p>
    <w:p w14:paraId="10A432A5">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一、交易电量规模</w:t>
      </w:r>
    </w:p>
    <w:p w14:paraId="06379699">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2027年，北京市电力市场化交易总电量规模拟安排985亿千瓦时，其中，直接市场交易规模400亿千瓦时，电网代理购电规模585亿千瓦时。</w:t>
      </w:r>
    </w:p>
    <w:p w14:paraId="1D9916F8">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二、市场参与方式</w:t>
      </w:r>
    </w:p>
    <w:p w14:paraId="1512E217">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（一）直接参与市场交易</w:t>
      </w:r>
    </w:p>
    <w:p w14:paraId="1078567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执行工商业电价的电力用户原则上全部直接参与市场交易（直接向发电企业和售电公司购电，下同）。</w:t>
      </w:r>
    </w:p>
    <w:p w14:paraId="7399B8FE">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选择直接参与市场交易的电力用户，应在首都电力交易中心完成市场注册，电力用户可以供用电合同上的单位名称申请入市，也可以缴费人的单位名称申请入市（需获得供用电合同上的单位授权，视同供用电合同上的单位入市）。其全部电量均应通过直接参与市场交易购买。鼓励年用电量超过500万千瓦时的用户与发电企业开展电力直接交易。</w:t>
      </w:r>
    </w:p>
    <w:p w14:paraId="6B5AD717">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（二）电网代理购电</w:t>
      </w:r>
    </w:p>
    <w:p w14:paraId="16FA8013">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逐步缩小电网代理购电规模。对暂未直接参与市场交易的电力用户，由国网北京市电力公司代理购电；已直接参与市场交易又退出的电力用户，以用户编号为单位，由国网北京市电力公司代理购电，其用电价格按照国家有关政策文件执行。</w:t>
      </w:r>
    </w:p>
    <w:p w14:paraId="23100FF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由国网北京市电力公司代理购电的工商业用户，可在每月20日前，在首都电力交易平台完成注册，选择自下月起直接参与市场交易，国网北京市电力公司代理购电相应终止。首都电</w:t>
      </w:r>
      <w:r>
        <w:rPr>
          <w:rFonts w:hint="eastAsia" w:ascii="仿宋_GB2312" w:hAnsi="仿宋_GB2312" w:cs="仿宋_GB2312"/>
          <w:bCs/>
          <w:color w:val="000000"/>
          <w:spacing w:val="6"/>
        </w:rPr>
        <w:t>力交易中心应将上述变更信息于2日内告知国网北京市电力公司。</w:t>
      </w:r>
    </w:p>
    <w:p w14:paraId="3A41B0B4">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三、交易组织安排</w:t>
      </w:r>
    </w:p>
    <w:p w14:paraId="0524BCC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北京市电力市场化交易工作由北京电力交易中心、首都电力交易中心共同组织开展。</w:t>
      </w:r>
    </w:p>
    <w:p w14:paraId="6D6B4B3A">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（一）市场成员</w:t>
      </w:r>
    </w:p>
    <w:p w14:paraId="4831D29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1.发电企业</w:t>
      </w:r>
    </w:p>
    <w:p w14:paraId="3A693264">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符合国家能源局《电力市场注册基本规则》（国能发监管规〔2024〕76号）等有关要求的发电企业，具体以电力交易中心公告为准。</w:t>
      </w:r>
    </w:p>
    <w:p w14:paraId="70BEF500">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2.售电公司</w:t>
      </w:r>
    </w:p>
    <w:p w14:paraId="68C9F68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在首都电力交易平台注册生效的售电公司。</w:t>
      </w:r>
    </w:p>
    <w:p w14:paraId="2704CC0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3.电力用户</w:t>
      </w:r>
    </w:p>
    <w:p w14:paraId="7E130618">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在首都电力交易平台注册生效的电力用户分为批发用户和零售用户，并按照注册类型，分别参与批发市场和零售市场。</w:t>
      </w:r>
    </w:p>
    <w:p w14:paraId="3ADDCEB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4.新型经营主体</w:t>
      </w:r>
    </w:p>
    <w:p w14:paraId="6A50100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符合国家、北京市相关入市注册规则，且在首都电力交易平台完成注册手续的各类新型经营主体。新型经营主体参与市场交易相关细则另行制定。</w:t>
      </w:r>
    </w:p>
    <w:p w14:paraId="1C83DCA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5.电力市场运营机构</w:t>
      </w:r>
    </w:p>
    <w:p w14:paraId="09B57D3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包括北京电力交易中心市场交易二部、首都电力交易中</w:t>
      </w:r>
      <w:r>
        <w:rPr>
          <w:rFonts w:hint="eastAsia" w:ascii="仿宋_GB2312" w:hAnsi="仿宋_GB2312" w:cs="仿宋_GB2312"/>
          <w:bCs/>
          <w:color w:val="000000"/>
          <w:spacing w:val="6"/>
        </w:rPr>
        <w:t>心；国网华北分部电力调度控制中心、北京电力调度控制中心等。</w:t>
      </w:r>
    </w:p>
    <w:p w14:paraId="129077F3">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（二）交易组织具体方式</w:t>
      </w:r>
    </w:p>
    <w:p w14:paraId="4B56732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1.交易方式</w:t>
      </w:r>
    </w:p>
    <w:p w14:paraId="4E8B8843">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为贯彻落实国家电力市场化改革工作部署，2027年北京市采用双边协商、集中交易（包括集中竞价交易、滚动撮合交易、挂牌交易等）方式开展分时段电力中长期交易。交易周期包含年度、月度、月内等。年度交易按月申报，以双边协商为主，月度、月内交易以集中交易为主。采用双边协商方式时，发、用双方协商确定量、价曲线；采用集中交易时，发、用双方根据各时段成交结果形成量、价曲线。具体内容按照电力交易中心发布的交易公告执行。电网企业代理购电交易方式按照国家、北京市有关文件规定执行。</w:t>
      </w:r>
    </w:p>
    <w:p w14:paraId="59F752E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（2）合同转让交易按照华北能源监管局及北京地区有关规则执行。</w:t>
      </w:r>
    </w:p>
    <w:p w14:paraId="003506B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2.交易单元</w:t>
      </w:r>
    </w:p>
    <w:p w14:paraId="0D508D2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发电企业：将在交易平台注册生效的发电企业所属机组统一打包参与交易。</w:t>
      </w:r>
    </w:p>
    <w:p w14:paraId="6643DAB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电力用户：将同一注册用户全部电压等级的用电单元统一打包参与交易。</w:t>
      </w:r>
    </w:p>
    <w:p w14:paraId="542BC7D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售电公司：将所代理用户全部电压等级的用电单元统一打包参与交易。</w:t>
      </w:r>
    </w:p>
    <w:p w14:paraId="2E9E5454">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新型经营主体：将在交易平台注册生效的新型经营主体下属的所有单元统一打包参与交易。</w:t>
      </w:r>
    </w:p>
    <w:p w14:paraId="0B15F07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国网北京市电力公司：将所代理用户全部电压等级的用户编号统一打包参与交易。</w:t>
      </w:r>
    </w:p>
    <w:p w14:paraId="63B69F74">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3.安全校核</w:t>
      </w:r>
    </w:p>
    <w:p w14:paraId="70101502">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由国网华北分部电力调度控制中心会同相关电力调度机构协调开展直接交易安全校核工作。</w:t>
      </w:r>
    </w:p>
    <w:p w14:paraId="3402CED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4.交易结果发布</w:t>
      </w:r>
    </w:p>
    <w:p w14:paraId="6AC5AAC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由北京电力交易中心、首都电力交易中心发布交易结果。交易结果一经电力交易平台发布即作为交易执行依据，交易各方不再签订纸质合同。</w:t>
      </w:r>
    </w:p>
    <w:p w14:paraId="3C366A1E">
      <w:pPr>
        <w:snapToGrid w:val="0"/>
        <w:spacing w:line="580" w:lineRule="exact"/>
        <w:ind w:firstLine="640" w:firstLineChars="200"/>
        <w:rPr>
          <w:rFonts w:hint="eastAsia" w:ascii="黑体" w:hAnsi="黑体" w:eastAsia="黑体" w:cs="黑体"/>
          <w:bCs/>
          <w:color w:val="000000"/>
        </w:rPr>
      </w:pPr>
      <w:r>
        <w:rPr>
          <w:rFonts w:hint="eastAsia" w:ascii="黑体" w:hAnsi="黑体" w:eastAsia="黑体" w:cs="黑体"/>
          <w:bCs/>
          <w:color w:val="000000"/>
        </w:rPr>
        <w:t>四、直接交易价格</w:t>
      </w:r>
    </w:p>
    <w:p w14:paraId="0E91CD4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燃煤发电市场各段交易价格在“基准价+上下浮动”范围内形成（不含煤电容量电价），基准价适用落地省基准价水平，浮动范围原则上均不超过20%。鼓励购售双方在中长期合同中设立交易电价随燃料成本变化合理浮动条款，实行交易价格与煤炭价格挂钩联动，保障能源稳定供应。</w:t>
      </w:r>
    </w:p>
    <w:p w14:paraId="0A7BED9D">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（一）时段划分</w:t>
      </w:r>
    </w:p>
    <w:p w14:paraId="4F575FF3">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2027年北京市电力市场化交易分为以下五个时段：</w:t>
      </w:r>
    </w:p>
    <w:p w14:paraId="6608C4CB">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1.高峰时段：每日10:00-13:00，17:00-22:00；</w:t>
      </w:r>
    </w:p>
    <w:p w14:paraId="79727F94">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2.平段：每日7:00-10:00，13:00-17:00，22:00-23:00；</w:t>
      </w:r>
    </w:p>
    <w:p w14:paraId="389536D2">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3.低谷时段：每日23:00-次日7:00；</w:t>
      </w:r>
    </w:p>
    <w:p w14:paraId="4F64D90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4.夏季尖峰时段：7月、8月每日11：00-13:00，16:00-17:00；</w:t>
      </w:r>
    </w:p>
    <w:p w14:paraId="6AE79B7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5.冬季尖峰时段：1月、12月每日18:00-21:00。</w:t>
      </w:r>
    </w:p>
    <w:p w14:paraId="52450D75">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（二）交易价格</w:t>
      </w:r>
    </w:p>
    <w:p w14:paraId="3E2235DE">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批发用户的用电价格由成交价格、上网环节线损费用、输配电价、系统运行费用、政府性基金及附加构成；零售用户的用电价格由零售合同电能量价格、上网环节线损费用、输配电价、系统运行费用、政府性基金及附加等构成。售电公司交易价格为各时段成交结果的加权价格。其中：</w:t>
      </w:r>
    </w:p>
    <w:p w14:paraId="417962D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成交价格由市场化交易形成，零售合同电能量价格由售电公司与零售用户签订零售套餐约定。上网环节线损费用、系统运行费用由电网企业按照国家及北京市要求核算并公示，按月由全体工商业用户分摊或分享。</w:t>
      </w:r>
    </w:p>
    <w:p w14:paraId="68D26A43">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输配电价包括区域电网输配电价和北京电网输配电价。区域电网输配电价按照国家发展改革委《关于第四监管周期省级电网输配电价、区域电网输电价格及有关事项的通知》（发改价格〔2026〕1077号）执行。北京电网输配电价按照市发展改革委《关于北京电网第四监管周期输配电价等有关事项的通知》（京发改〔2026〕1184号）执行，如遇电价政策调整，按新政策执行。</w:t>
      </w:r>
    </w:p>
    <w:p w14:paraId="6B436C19">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（三）分时电价</w:t>
      </w:r>
    </w:p>
    <w:p w14:paraId="1496DA2B">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发电企业、批发用户、售电公司采用分24时段报量、报价的模式参与交易。</w:t>
      </w:r>
    </w:p>
    <w:p w14:paraId="7A3C6A6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执行峰谷分时电价政策的用户，继续执行峰谷分时电价政策。具体按照市发展改革委《关于进一步完善本市分时电价机制等有关事项的通知》（京发改规〔2023〕11号）执行。如遇电价政策调整，按新政策执行。</w:t>
      </w:r>
    </w:p>
    <w:p w14:paraId="7ACBCA62">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批发用户以分时段成交结果加权价格（含区域电网度电输电费用及网损折价）作为平段价格，以此为基准参与峰谷浮动；零售用户按照零售合同电能量价格作为平段价格，以此为基准参与峰谷浮动。上网环节线损费用、北京电网输配电价、系统运行费用和政府性基金及附加不执行峰谷分时电价。如遇电价政策调整，按新政策执行。</w:t>
      </w:r>
    </w:p>
    <w:p w14:paraId="77201C4A">
      <w:pPr>
        <w:snapToGrid w:val="0"/>
        <w:spacing w:line="580" w:lineRule="exact"/>
        <w:ind w:firstLine="640" w:firstLineChars="200"/>
        <w:rPr>
          <w:rFonts w:hint="eastAsia" w:ascii="黑体" w:hAnsi="黑体" w:eastAsia="黑体" w:cs="黑体"/>
          <w:bCs/>
          <w:color w:val="000000"/>
        </w:rPr>
      </w:pPr>
      <w:r>
        <w:rPr>
          <w:rFonts w:hint="eastAsia" w:ascii="黑体" w:hAnsi="黑体" w:eastAsia="黑体" w:cs="黑体"/>
          <w:bCs/>
          <w:color w:val="000000"/>
        </w:rPr>
        <w:t>五、结算方式</w:t>
      </w:r>
    </w:p>
    <w:p w14:paraId="25EA4B7B">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2027年北京地区电力市场化交易结算方式按照华北能源监管局现行政策文件执行。电网企业代理购电产生的偏差电量，按国家、北京市相关文件规定执行。如遇政策调整，按照新政策执行。</w:t>
      </w:r>
    </w:p>
    <w:p w14:paraId="285E6642">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（一）偏差结算</w:t>
      </w:r>
    </w:p>
    <w:p w14:paraId="4885AAC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本地新能源发电企业的偏差结算方式按照《北京市2027年绿色电力交易方案》执行。</w:t>
      </w:r>
    </w:p>
    <w:p w14:paraId="4AF53BA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批发用户、售电公司实际用电量与各类交易合同（购售合同）总电量的差值部分为偏差电量，偏差电量与各类交易合同（购售合同）总电量的比值为偏差率，即K。U1、U2分别为用户侧偏差电量超用、少用调节系数。</w:t>
      </w:r>
    </w:p>
    <w:p w14:paraId="3CFD773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2027年用户侧合同偏差电量部分按照以下价格结算:</w:t>
      </w:r>
    </w:p>
    <w:p w14:paraId="62D25543">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超用电量结算电价：max[京津唐电网燃煤发电企业月度偏差电量结算价格，批发用户、售电公司当月中长期交易合同电能量价格最大值]*U1。</w:t>
      </w:r>
    </w:p>
    <w:p w14:paraId="3A1DC99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少用电量结算电价：min[京津唐电网燃煤发电企业月度偏差电量结算价格，批发用户、售电公司当月中长期交易合同电能量价格最小值]*U2。</w:t>
      </w:r>
    </w:p>
    <w:p w14:paraId="23CBDFC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2027年批发用户、售电公司偏差结算按照阶梯对应区间方式执行，具体如下：</w:t>
      </w:r>
    </w:p>
    <w:p w14:paraId="5F53BB8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当K∈[-5%,5%]时,U1=1,U2=1;</w:t>
      </w:r>
    </w:p>
    <w:p w14:paraId="2A4E817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当K∈[-15%,-5%）∪（5%,15%]时,U1=1.02,U2=0.98;</w:t>
      </w:r>
    </w:p>
    <w:p w14:paraId="20C96E0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当K∈[-40%,-15%）∪（15%,40%]时,U1=1.05,U2=0.95;</w:t>
      </w:r>
    </w:p>
    <w:p w14:paraId="6A8EB41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当K∈[-100%,-40%）∪（40%,+∞）时,U1=1.1,U2=0.9。</w:t>
      </w:r>
    </w:p>
    <w:p w14:paraId="7F9EF2D9">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后期根据北京市场运行情况，适时调整调节系数并发布。电网企业代理购电产生的偏差电量，按照京津唐电网月度竞价出清价格结算。</w:t>
      </w:r>
    </w:p>
    <w:p w14:paraId="0FD766A5">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（二）偏差资金</w:t>
      </w:r>
    </w:p>
    <w:p w14:paraId="55898C80">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2027年，批发用户、售电公司因合同偏差电量结算引起的偏差资金，原则上在北京地区批发用户、售电公司范围内分摊。具体分摊原则如下：</w:t>
      </w:r>
    </w:p>
    <w:p w14:paraId="18DFEC0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1.资金分摊原则</w:t>
      </w:r>
    </w:p>
    <w:p w14:paraId="616FC1F4">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综合考虑偏差电量、偏差率两个维度，按照“谁产生谁分摊、鼓励控制偏差”的原则对偏差结算差额资金进行分摊。各月偏差结算差额资金总额及各批发用户、售电公司分摊金额按照当月结算数据计算、按月结算。</w:t>
      </w:r>
    </w:p>
    <w:p w14:paraId="1770AAE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2.具体计算方法</w:t>
      </w:r>
    </w:p>
    <w:p w14:paraId="5859EE2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（1）偏差结算差额资金总额</w:t>
      </w:r>
    </w:p>
    <w:p w14:paraId="0D1361B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偏差结算差额资金总额指当月批发用户、售电公司支出的电能量合同费用及偏差结算费用总和与北京电网向北京本地参与中长期交易的新能源发电企业、华北电网支付的直接交易电能量合同费用及偏差结算费用总和之差。</w:t>
      </w:r>
    </w:p>
    <w:p w14:paraId="3B9928E9">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各月偏差结算差额资金总额的计算方式为：</w:t>
      </w:r>
    </w:p>
    <w:p w14:paraId="7DC354A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M=M</w:t>
      </w:r>
      <w:r>
        <w:rPr>
          <w:rFonts w:hint="eastAsia" w:ascii="仿宋_GB2312" w:hAnsi="仿宋_GB2312" w:cs="仿宋_GB2312"/>
          <w:bCs/>
          <w:color w:val="000000"/>
          <w:sz w:val="21"/>
          <w:szCs w:val="21"/>
        </w:rPr>
        <w:t>用户</w:t>
      </w:r>
      <w:r>
        <w:rPr>
          <w:rFonts w:hint="eastAsia" w:ascii="仿宋_GB2312" w:hAnsi="仿宋_GB2312" w:cs="仿宋_GB2312"/>
          <w:bCs/>
          <w:color w:val="000000"/>
        </w:rPr>
        <w:t>-M</w:t>
      </w:r>
      <w:r>
        <w:rPr>
          <w:rFonts w:hint="eastAsia" w:ascii="仿宋_GB2312" w:hAnsi="仿宋_GB2312" w:cs="仿宋_GB2312"/>
          <w:bCs/>
          <w:color w:val="000000"/>
          <w:sz w:val="21"/>
          <w:szCs w:val="21"/>
        </w:rPr>
        <w:t>电网</w:t>
      </w:r>
      <w:r>
        <w:rPr>
          <w:rFonts w:hint="eastAsia" w:ascii="仿宋_GB2312" w:hAnsi="仿宋_GB2312" w:cs="仿宋_GB2312"/>
          <w:bCs/>
          <w:color w:val="000000"/>
        </w:rPr>
        <w:t>；</w:t>
      </w:r>
    </w:p>
    <w:p w14:paraId="4993549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M为当月偏差结算差额资金总额；</w:t>
      </w:r>
    </w:p>
    <w:p w14:paraId="34223C64">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M</w:t>
      </w:r>
      <w:r>
        <w:rPr>
          <w:rFonts w:hint="eastAsia" w:ascii="仿宋_GB2312" w:hAnsi="仿宋_GB2312" w:cs="仿宋_GB2312"/>
          <w:bCs/>
          <w:color w:val="000000"/>
          <w:sz w:val="21"/>
          <w:szCs w:val="21"/>
        </w:rPr>
        <w:t>用户</w:t>
      </w:r>
      <w:r>
        <w:rPr>
          <w:rFonts w:hint="eastAsia" w:ascii="仿宋_GB2312" w:hAnsi="仿宋_GB2312" w:cs="仿宋_GB2312"/>
          <w:bCs/>
          <w:color w:val="000000"/>
        </w:rPr>
        <w:t>为当月批发用户、售电公司支出的电能量合同费用及偏差结算费用总和；</w:t>
      </w:r>
    </w:p>
    <w:p w14:paraId="20739FF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M</w:t>
      </w:r>
      <w:r>
        <w:rPr>
          <w:rFonts w:hint="eastAsia" w:ascii="仿宋_GB2312" w:hAnsi="仿宋_GB2312" w:cs="仿宋_GB2312"/>
          <w:bCs/>
          <w:color w:val="000000"/>
          <w:sz w:val="21"/>
          <w:szCs w:val="21"/>
        </w:rPr>
        <w:t>电网</w:t>
      </w:r>
      <w:r>
        <w:rPr>
          <w:rFonts w:hint="eastAsia" w:ascii="仿宋_GB2312" w:hAnsi="仿宋_GB2312" w:cs="仿宋_GB2312"/>
          <w:bCs/>
          <w:color w:val="000000"/>
        </w:rPr>
        <w:t>为北京电网向北京本地参与中长期交易的新能源发电企业、华北电网支付的直接交易电能量合同费用及偏差结算费用总和。</w:t>
      </w:r>
    </w:p>
    <w:p w14:paraId="0ECDC10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（2）分摊基数</w:t>
      </w:r>
    </w:p>
    <w:p w14:paraId="0673A0C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按照资金分摊原则，根据批发用户、售电公司的偏差电量和偏差率设定偏差结算差额资金分摊基数，作为各批发用户、售电公司分摊资金数量的计算条件，计算方法为：</w:t>
      </w:r>
    </w:p>
    <w:p w14:paraId="1CECE890">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当月差额资金总额为正时，F</w:t>
      </w:r>
      <w:r>
        <w:rPr>
          <w:rFonts w:hint="eastAsia" w:ascii="仿宋_GB2312" w:hAnsi="仿宋_GB2312" w:cs="仿宋_GB2312"/>
          <w:bCs/>
          <w:color w:val="000000"/>
          <w:vertAlign w:val="subscript"/>
        </w:rPr>
        <w:t>i</w:t>
      </w:r>
      <w:r>
        <w:rPr>
          <w:rFonts w:hint="eastAsia" w:ascii="仿宋_GB2312" w:hAnsi="仿宋_GB2312" w:cs="仿宋_GB2312"/>
          <w:bCs/>
          <w:color w:val="000000"/>
        </w:rPr>
        <w:t>=Q</w:t>
      </w:r>
      <w:r>
        <w:rPr>
          <w:rFonts w:hint="eastAsia" w:ascii="仿宋_GB2312" w:hAnsi="仿宋_GB2312" w:cs="仿宋_GB2312"/>
          <w:bCs/>
          <w:color w:val="000000"/>
          <w:vertAlign w:val="subscript"/>
        </w:rPr>
        <w:t>i</w:t>
      </w:r>
      <w:r>
        <w:rPr>
          <w:rFonts w:hint="eastAsia" w:ascii="仿宋_GB2312" w:hAnsi="仿宋_GB2312" w:cs="仿宋_GB2312"/>
          <w:bCs/>
          <w:color w:val="000000"/>
        </w:rPr>
        <w:t>×（1-X</w:t>
      </w:r>
      <w:r>
        <w:rPr>
          <w:rFonts w:hint="eastAsia" w:ascii="仿宋_GB2312" w:hAnsi="仿宋_GB2312" w:cs="仿宋_GB2312"/>
          <w:bCs/>
          <w:color w:val="000000"/>
          <w:vertAlign w:val="subscript"/>
        </w:rPr>
        <w:t>i</w:t>
      </w:r>
      <w:r>
        <w:rPr>
          <w:rFonts w:hint="eastAsia" w:ascii="仿宋_GB2312" w:hAnsi="仿宋_GB2312" w:cs="仿宋_GB2312"/>
          <w:bCs/>
          <w:color w:val="000000"/>
        </w:rPr>
        <w:t>）</w:t>
      </w:r>
      <w:r>
        <w:rPr>
          <w:rFonts w:hint="eastAsia" w:ascii="仿宋_GB2312" w:hAnsi="仿宋_GB2312" w:cs="仿宋_GB2312"/>
          <w:bCs/>
          <w:color w:val="000000"/>
          <w:vertAlign w:val="superscript"/>
        </w:rPr>
        <w:t>2</w:t>
      </w:r>
      <w:r>
        <w:rPr>
          <w:rFonts w:hint="eastAsia" w:ascii="仿宋_GB2312" w:hAnsi="仿宋_GB2312" w:cs="仿宋_GB2312"/>
          <w:bCs/>
          <w:color w:val="000000"/>
        </w:rPr>
        <w:t>；</w:t>
      </w:r>
    </w:p>
    <w:p w14:paraId="47A29B1A">
      <w:pPr>
        <w:snapToGrid w:val="0"/>
        <w:spacing w:line="580" w:lineRule="exact"/>
        <w:ind w:firstLine="640" w:firstLineChars="200"/>
        <w:rPr>
          <w:rFonts w:hint="eastAsia" w:ascii="仿宋_GB2312" w:hAnsi="仿宋_GB2312" w:cs="仿宋_GB2312"/>
          <w:bCs/>
          <w:color w:val="000000"/>
          <w:position w:val="-12"/>
        </w:rPr>
      </w:pPr>
      <w:r>
        <w:rPr>
          <w:rFonts w:hint="eastAsia" w:ascii="仿宋_GB2312" w:hAnsi="仿宋_GB2312" w:cs="仿宋_GB2312"/>
          <w:bCs/>
          <w:color w:val="000000"/>
        </w:rPr>
        <w:t>当月差额资金总额为负时，F</w:t>
      </w:r>
      <w:r>
        <w:rPr>
          <w:rFonts w:hint="eastAsia" w:ascii="仿宋_GB2312" w:hAnsi="仿宋_GB2312" w:cs="仿宋_GB2312"/>
          <w:bCs/>
          <w:color w:val="000000"/>
          <w:vertAlign w:val="subscript"/>
        </w:rPr>
        <w:t>i</w:t>
      </w:r>
      <w:r>
        <w:rPr>
          <w:rFonts w:hint="eastAsia" w:ascii="仿宋_GB2312" w:hAnsi="仿宋_GB2312" w:cs="仿宋_GB2312"/>
          <w:bCs/>
          <w:color w:val="000000"/>
        </w:rPr>
        <w:t>=Q</w:t>
      </w:r>
      <w:r>
        <w:rPr>
          <w:rFonts w:hint="eastAsia" w:ascii="仿宋_GB2312" w:hAnsi="仿宋_GB2312" w:cs="仿宋_GB2312"/>
          <w:bCs/>
          <w:color w:val="000000"/>
          <w:vertAlign w:val="subscript"/>
        </w:rPr>
        <w:t>i</w:t>
      </w:r>
      <w:r>
        <w:rPr>
          <w:rFonts w:hint="eastAsia" w:ascii="仿宋_GB2312" w:hAnsi="仿宋_GB2312" w:cs="仿宋_GB2312"/>
          <w:bCs/>
          <w:color w:val="000000"/>
        </w:rPr>
        <w:t>×X</w:t>
      </w:r>
      <w:r>
        <w:rPr>
          <w:rFonts w:hint="eastAsia" w:ascii="仿宋_GB2312" w:hAnsi="仿宋_GB2312" w:cs="仿宋_GB2312"/>
          <w:bCs/>
          <w:color w:val="000000"/>
          <w:vertAlign w:val="subscript"/>
        </w:rPr>
        <w:t>i</w:t>
      </w:r>
      <w:r>
        <w:rPr>
          <w:rFonts w:hint="eastAsia" w:ascii="仿宋_GB2312" w:hAnsi="仿宋_GB2312" w:cs="仿宋_GB2312"/>
          <w:bCs/>
          <w:color w:val="000000"/>
          <w:vertAlign w:val="superscript"/>
        </w:rPr>
        <w:t>2</w:t>
      </w:r>
      <w:r>
        <w:rPr>
          <w:rFonts w:hint="eastAsia" w:ascii="仿宋_GB2312" w:hAnsi="仿宋_GB2312" w:cs="仿宋_GB2312"/>
          <w:bCs/>
          <w:color w:val="000000"/>
        </w:rPr>
        <w:t>；</w:t>
      </w:r>
    </w:p>
    <w:p w14:paraId="44251687">
      <w:pPr>
        <w:snapToGrid w:val="0"/>
        <w:spacing w:line="580" w:lineRule="exact"/>
        <w:ind w:firstLine="664" w:firstLineChars="200"/>
        <w:rPr>
          <w:rFonts w:hint="eastAsia" w:ascii="仿宋_GB2312" w:hAnsi="仿宋_GB2312" w:cs="仿宋_GB2312"/>
          <w:bCs/>
          <w:color w:val="000000"/>
          <w:spacing w:val="6"/>
        </w:rPr>
      </w:pPr>
      <w:r>
        <w:rPr>
          <w:rFonts w:hint="eastAsia" w:ascii="仿宋_GB2312" w:hAnsi="仿宋_GB2312" w:cs="仿宋_GB2312"/>
          <w:bCs/>
          <w:color w:val="000000"/>
          <w:spacing w:val="6"/>
        </w:rPr>
        <w:t>F</w:t>
      </w:r>
      <w:r>
        <w:rPr>
          <w:rFonts w:hint="eastAsia" w:ascii="仿宋_GB2312" w:hAnsi="仿宋_GB2312" w:cs="仿宋_GB2312"/>
          <w:bCs/>
          <w:color w:val="000000"/>
          <w:spacing w:val="6"/>
          <w:vertAlign w:val="subscript"/>
        </w:rPr>
        <w:t>i</w:t>
      </w:r>
      <w:r>
        <w:rPr>
          <w:rFonts w:hint="eastAsia" w:ascii="仿宋_GB2312" w:hAnsi="仿宋_GB2312" w:cs="仿宋_GB2312"/>
          <w:bCs/>
          <w:color w:val="000000"/>
          <w:spacing w:val="6"/>
        </w:rPr>
        <w:t>为第i个批发交易用户当月的偏差结算差额资金分摊基数；</w:t>
      </w:r>
    </w:p>
    <w:p w14:paraId="5DDE09F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Q</w:t>
      </w:r>
      <w:r>
        <w:rPr>
          <w:rFonts w:hint="eastAsia" w:ascii="仿宋_GB2312" w:hAnsi="仿宋_GB2312" w:cs="仿宋_GB2312"/>
          <w:bCs/>
          <w:color w:val="000000"/>
          <w:vertAlign w:val="subscript"/>
        </w:rPr>
        <w:t>i</w:t>
      </w:r>
      <w:r>
        <w:rPr>
          <w:rFonts w:hint="eastAsia" w:ascii="仿宋_GB2312" w:hAnsi="仿宋_GB2312" w:cs="仿宋_GB2312"/>
          <w:bCs/>
          <w:color w:val="000000"/>
        </w:rPr>
        <w:t>为第i个批发交易用户当月的偏差电量绝对值；</w:t>
      </w:r>
    </w:p>
    <w:p w14:paraId="2A31292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X</w:t>
      </w:r>
      <w:r>
        <w:rPr>
          <w:rFonts w:hint="eastAsia" w:ascii="仿宋_GB2312" w:hAnsi="仿宋_GB2312" w:cs="仿宋_GB2312"/>
          <w:bCs/>
          <w:color w:val="000000"/>
          <w:vertAlign w:val="subscript"/>
        </w:rPr>
        <w:t>i</w:t>
      </w:r>
      <w:r>
        <w:rPr>
          <w:rFonts w:hint="eastAsia" w:ascii="仿宋_GB2312" w:hAnsi="仿宋_GB2312" w:cs="仿宋_GB2312"/>
          <w:bCs/>
          <w:color w:val="000000"/>
        </w:rPr>
        <w:t>为第i个批发交易用户当月的偏差率绝对值，即第i个批发交易用户当月的偏差电量与合同电量之比的绝对值，合同电量包括年度分月、月度、合同电量转让及绿色电力等各类批发市场合同的电量之和，X</w:t>
      </w:r>
      <w:r>
        <w:rPr>
          <w:rFonts w:hint="eastAsia" w:ascii="仿宋_GB2312" w:hAnsi="仿宋_GB2312" w:cs="仿宋_GB2312"/>
          <w:bCs/>
          <w:color w:val="000000"/>
          <w:vertAlign w:val="subscript"/>
        </w:rPr>
        <w:t>i</w:t>
      </w:r>
      <w:r>
        <w:rPr>
          <w:rFonts w:hint="eastAsia" w:ascii="仿宋_GB2312" w:hAnsi="仿宋_GB2312" w:cs="仿宋_GB2312"/>
          <w:bCs/>
          <w:color w:val="000000"/>
        </w:rPr>
        <w:t>大于等于1及合同电量为0时，X</w:t>
      </w:r>
      <w:r>
        <w:rPr>
          <w:rFonts w:hint="eastAsia" w:ascii="仿宋_GB2312" w:hAnsi="仿宋_GB2312" w:cs="仿宋_GB2312"/>
          <w:bCs/>
          <w:color w:val="000000"/>
          <w:vertAlign w:val="subscript"/>
        </w:rPr>
        <w:t>i</w:t>
      </w:r>
      <w:r>
        <w:rPr>
          <w:rFonts w:hint="eastAsia" w:ascii="仿宋_GB2312" w:hAnsi="仿宋_GB2312" w:cs="仿宋_GB2312"/>
          <w:bCs/>
          <w:color w:val="000000"/>
        </w:rPr>
        <w:t>取当月其他偏差率小于1的批发交易用户偏差率的最大值。</w:t>
      </w:r>
    </w:p>
    <w:p w14:paraId="3B050155">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（3）分摊资金</w:t>
      </w:r>
    </w:p>
    <w:p w14:paraId="4A10E1E2">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各批发用户、售电公司分摊的偏差结算差额资金等于当月分摊的偏差结算差额资金总额乘以其分摊基数占全部批发用户、售电公司分摊基数之和的比例，计算方法为：</w:t>
      </w:r>
    </w:p>
    <w:p w14:paraId="04B68A4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M</w:t>
      </w:r>
      <w:r>
        <w:rPr>
          <w:rFonts w:hint="eastAsia" w:ascii="仿宋_GB2312" w:hAnsi="仿宋_GB2312" w:cs="仿宋_GB2312"/>
          <w:bCs/>
          <w:color w:val="000000"/>
          <w:vertAlign w:val="subscript"/>
        </w:rPr>
        <w:t>i</w:t>
      </w:r>
      <w:r>
        <w:rPr>
          <w:rFonts w:hint="eastAsia" w:ascii="仿宋_GB2312" w:hAnsi="仿宋_GB2312" w:cs="仿宋_GB2312"/>
          <w:bCs/>
          <w:color w:val="000000"/>
        </w:rPr>
        <w:t>=M×F</w:t>
      </w:r>
      <w:r>
        <w:rPr>
          <w:rFonts w:hint="eastAsia" w:ascii="仿宋_GB2312" w:hAnsi="仿宋_GB2312" w:cs="仿宋_GB2312"/>
          <w:bCs/>
          <w:color w:val="000000"/>
          <w:vertAlign w:val="subscript"/>
        </w:rPr>
        <w:t>i</w:t>
      </w:r>
      <w:r>
        <w:rPr>
          <w:rFonts w:hint="eastAsia" w:ascii="仿宋_GB2312" w:hAnsi="仿宋_GB2312" w:cs="仿宋_GB2312"/>
          <w:bCs/>
          <w:color w:val="000000"/>
        </w:rPr>
        <w:t>/F；</w:t>
      </w:r>
    </w:p>
    <w:p w14:paraId="69E44E5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M</w:t>
      </w:r>
      <w:r>
        <w:rPr>
          <w:rFonts w:hint="eastAsia" w:ascii="仿宋_GB2312" w:hAnsi="仿宋_GB2312" w:cs="仿宋_GB2312"/>
          <w:bCs/>
          <w:color w:val="000000"/>
          <w:vertAlign w:val="subscript"/>
        </w:rPr>
        <w:t>i</w:t>
      </w:r>
      <w:r>
        <w:rPr>
          <w:rFonts w:hint="eastAsia" w:ascii="仿宋_GB2312" w:hAnsi="仿宋_GB2312" w:cs="仿宋_GB2312"/>
          <w:bCs/>
          <w:color w:val="000000"/>
        </w:rPr>
        <w:t>为第i个批发交易用户当月分摊的偏差结算差额资金；</w:t>
      </w:r>
    </w:p>
    <w:p w14:paraId="769F2DEF">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M为当月分摊的偏差结算差额资金总额；</w:t>
      </w:r>
    </w:p>
    <w:p w14:paraId="53B21618">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F为全部批发交易用户当月的偏差结算差额资金分摊基数之和。</w:t>
      </w:r>
    </w:p>
    <w:p w14:paraId="720682B0">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后续根据市场运行情况，适时调整计算方法。</w:t>
      </w:r>
    </w:p>
    <w:p w14:paraId="7ED09052">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当发生电费追退补时，不再对历史差额资金进行还原和分配，纳入追补月份差额资金总额进行统一分配。</w:t>
      </w:r>
    </w:p>
    <w:p w14:paraId="223D99B2">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（三）偏差免责</w:t>
      </w:r>
    </w:p>
    <w:p w14:paraId="303DF78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偏差免责申请及办理流程依据市城市管理委《关于北京市电力中长期交易偏差电量免责有关工作的通知》（京管发〔2023〕2号）执行。如遇政策调整，按照新政策执行。</w:t>
      </w:r>
    </w:p>
    <w:p w14:paraId="544E339C">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六、零售交易</w:t>
      </w:r>
    </w:p>
    <w:p w14:paraId="571ED6A4">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（一）零售代理</w:t>
      </w:r>
    </w:p>
    <w:p w14:paraId="551D2BC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零售用户与售电公司绑定代理关系、签订零售套餐，且电量均需通过该售电公司代理（与绿色电力交易代理关系保持一致），双方代理关系以在电力交易平台上生效的零售套餐为依据。零售用户变更代理关系最小周期为月。</w:t>
      </w:r>
      <w:r>
        <w:rPr>
          <w:rFonts w:hint="eastAsia" w:ascii="仿宋_GB2312" w:hAnsi="仿宋_GB2312" w:cs="仿宋_GB2312"/>
          <w:color w:val="000000"/>
        </w:rPr>
        <w:t>售电公司不得以明显低于市场价格下限的超低价格抢占零售用户，以签订“阴阳合同”、线下返利等方式开展场外交易规避监管。</w:t>
      </w:r>
    </w:p>
    <w:p w14:paraId="5B25D8E5">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2.合同期内如遇国家出台电价优惠政策，将特定行业纳入执行居民价格的非居民用户管理时，符合条件的零售用户可选择退市，不执行无理由退市惩罚电价，相应产生的偏差电量纳入偏差免责范围。</w:t>
      </w:r>
    </w:p>
    <w:p w14:paraId="55FEB456">
      <w:pPr>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（二）零售价格</w:t>
      </w:r>
    </w:p>
    <w:p w14:paraId="27593DB5">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零售合同的电能量价格在“北京燃煤基准价±20%”范围内形成（须扣减煤电容量电价，煤电容量电价暂按2026年1-9月均价计算，以首都电力交易中心披露的数据为准），零售用户与售电公司结算的电能量价格不包含煤电容量电价。</w:t>
      </w:r>
    </w:p>
    <w:p w14:paraId="25A102E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2.合同期内如遇国家电价政策调整影响零售交易时，售电公司和零售用户应通过签订补充协议或在合同中增加约束条款等形式落实国家要求。</w:t>
      </w:r>
    </w:p>
    <w:p w14:paraId="2CF90999">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（三）零售套餐</w:t>
      </w:r>
    </w:p>
    <w:p w14:paraId="68F1F677">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零售用户、售电公司签订零售市场购售电合同，分别约定绿色电力交易、非绿色电力交易零售套餐，可采用固定价格模式、联动价格模式、比例分成模式来约定零售合同价格，鼓励双方采用联动价格模式，适时增加其他模式零售结算套餐。</w:t>
      </w:r>
    </w:p>
    <w:p w14:paraId="258922C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2.绿色电力零售套餐应分别明确电能量价格和绿色电力环境价值。零售用户的绿色电力环境价值按对应绿色电力批发合同中绿色电力环境价值结算。</w:t>
      </w:r>
    </w:p>
    <w:p w14:paraId="1908D7B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3.为抵御市场风险，促进批零价格传导，当售电公司与其代理各零售用户的月度批零价差（Δ）满足Δ&gt;1.2×（2026年度市场平均批零价差）时，超额部分金额（Δ-1.2×年度平均价差）按照售电公司与该零售用户协商确定的比例进行分享，分享比例应大幅向零售用户倾斜。售电公司月度批发购电均价计算时包括合同电费和偏差电费，不包括差额资金。</w:t>
      </w:r>
    </w:p>
    <w:p w14:paraId="03480E4E">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4.售电公司依据零售用户实际用电量结算零售收入，以平段电价方式计算零售收入，售电公司售电收益为售电公司零售市场收入减去批发市场支出，售电收益包含售电服务收益，售电服务费不再单列。</w:t>
      </w:r>
    </w:p>
    <w:p w14:paraId="7E5967C0">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5.售电公司与零售用户可协商确定偏差电量允许范围及偏差电量共担价格。零售用户、售电公司每月可协商调整零售合同电量、结算关键参数。</w:t>
      </w:r>
    </w:p>
    <w:p w14:paraId="46EE3167">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七、信息披露</w:t>
      </w:r>
    </w:p>
    <w:p w14:paraId="3AEA288A">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（一）鼓励售电公司在电力交易平台发布可签约标准套餐及可签约电量，每家售电公司公示所有零售套餐。</w:t>
      </w:r>
    </w:p>
    <w:p w14:paraId="44221418">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（二）售电公司、电力用户在参与市场交易前，应按照信息披露基本规则要求完成信息披露。首都电力交易中心向市城市管理委报送披露情况。</w:t>
      </w:r>
    </w:p>
    <w:p w14:paraId="6A69AE04">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（三）按照国家发展改革委办公厅、国家能源局综合司《关于加强电力零售市场管理有关事项的通知》（发改办能源〔2026〕443号）以及国家能源局《</w:t>
      </w:r>
      <w:bookmarkStart w:id="1" w:name="OLE_LINK2"/>
      <w:r>
        <w:rPr>
          <w:rFonts w:hint="eastAsia" w:ascii="仿宋_GB2312" w:hAnsi="仿宋_GB2312" w:cs="仿宋_GB2312"/>
          <w:bCs/>
          <w:color w:val="000000"/>
        </w:rPr>
        <w:t>关于印发&lt;电力市场信息披露基本规则&gt;的通知</w:t>
      </w:r>
      <w:bookmarkEnd w:id="1"/>
      <w:r>
        <w:rPr>
          <w:rFonts w:hint="eastAsia" w:ascii="仿宋_GB2312" w:hAnsi="仿宋_GB2312" w:cs="仿宋_GB2312"/>
          <w:bCs/>
          <w:color w:val="000000"/>
        </w:rPr>
        <w:t>》（国能发监管〔2024〕9号），首都电力交易中心要按月披露市场结算总体情况及分类构成情况、零售市场结算均价分布情况等，便于零售用户查询使用。</w:t>
      </w:r>
    </w:p>
    <w:p w14:paraId="7345AC5D">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（四）市场交易清分结果向经营主体公示时，如因公示期为节假日致使经营主体未及时确认，差错电量电费通过追退追补方式订正。</w:t>
      </w:r>
    </w:p>
    <w:p w14:paraId="52F24E9D">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八、相关工作要求</w:t>
      </w:r>
    </w:p>
    <w:p w14:paraId="34BECD5B">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电力用户在同一合同周期内仅可与一家售电公司确立零售服务关系。售电公司不能代理发电企业参加交易。原则上，售电公司绿色电力</w:t>
      </w:r>
      <w:bookmarkStart w:id="2" w:name="_GoBack"/>
      <w:bookmarkEnd w:id="2"/>
      <w:r>
        <w:rPr>
          <w:rFonts w:hint="eastAsia" w:ascii="仿宋_GB2312" w:hAnsi="仿宋_GB2312" w:cs="仿宋_GB2312"/>
          <w:bCs/>
          <w:color w:val="000000"/>
        </w:rPr>
        <w:t>交易电量需全部分配至零售用户。零售用户更换售电公司时，若涉及到多年期交易合同，须由几方主体共同协商一致后，进行售电公司更换。签订多年期交易合同的售电公司、零售用户应注意多年期交易合同期限与交易平台中代理关系绑定期限对应。</w:t>
      </w:r>
    </w:p>
    <w:p w14:paraId="16D8DA40">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市场化电力用户（含售电公司、电网代理购电）2027年度中长期合同签约电量应不低于上一年度用电量的80%，并通过后续合同签订，保障电力中长期合同签约电量比例不低于90%。鼓励经营主体签订一年期以上的电力中长期合同。各类经营主体应综合考虑合同执行情况及市场变化因素，合理签订中长期合同。原则上，售电公司应充分调研其代理的零售用户用电需求后参与批发交易，做到批发交易电量与零售用户用电需求匹配。</w:t>
      </w:r>
    </w:p>
    <w:p w14:paraId="183999F3">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同一实际控制人注册的售电公司在本市签约售电量原则上不得超过北京地区全部签约售电总量的20%。同一集团的发电企业和售电公司双边协商交易电量原则上不得超过该集团在北京地区总交易电量的20%。</w:t>
      </w:r>
    </w:p>
    <w:p w14:paraId="74D3CACD">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参与北京市电力市场化交易的高耗能企业，按照国家有关政策文件执行。</w:t>
      </w:r>
    </w:p>
    <w:p w14:paraId="7C181E45">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可再生能源电力消纳按照市发展改革委、市城市管理委《关于印发北京可再生能源电力消纳保障工作方案（试行）的通知》（京发改〔2021〕1524号）相关要求执行。2027年，北京市</w:t>
      </w:r>
      <w:r>
        <w:rPr>
          <w:rFonts w:hint="eastAsia" w:ascii="仿宋_GB2312" w:hAnsi="仿宋_GB2312" w:cs="仿宋_GB2312"/>
          <w:bCs/>
          <w:color w:val="000000"/>
          <w:highlight w:val="none"/>
        </w:rPr>
        <w:t>承担消纳责任的经营主体年度最低消纳责任权重预期性指标暂定为 %（非水 %）（待定），具体消纳责任权重以国家相关部门正式发布的约束性指标</w:t>
      </w:r>
      <w:r>
        <w:rPr>
          <w:rFonts w:hint="eastAsia" w:ascii="仿宋_GB2312" w:hAnsi="仿宋_GB2312" w:cs="仿宋_GB2312"/>
          <w:bCs/>
          <w:color w:val="000000"/>
        </w:rPr>
        <w:t>为准。鼓励承担消纳责任的经营主体通过绿色电力交易、绿证交易等方式完成责任权重。</w:t>
      </w:r>
    </w:p>
    <w:p w14:paraId="444E2A63">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完成市场注册的售电公司，在规定时间内提交符合要求的履约保函或履约保险后，方可参与市场交易。履约保函或履约保险的开具、管理及执行等按照《北京市电力市场履约保障凭证管理工作指引（试行）》执行。</w:t>
      </w:r>
    </w:p>
    <w:p w14:paraId="05BCF268">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北京市电力零售市场购售电合同（2027年示范文本）、北京市市场化直接交易结算指引（2027年）另行制定。</w:t>
      </w:r>
    </w:p>
    <w:p w14:paraId="3CAC3C79">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按照国家有关要求，严禁在收取电费中加收其他费用。物业公共部位、共用设施和配套设施的运行维护费用等，应通过物业费、租金或公共收益解决，严禁以电费为基数加收服务类费用。</w:t>
      </w:r>
    </w:p>
    <w:p w14:paraId="3698CCBE">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电力用户因计量装置故障等原因产生电量差错，发生于当月账期的电量，按照交易合同、零售套餐等参数计算相关经营主体退补电费，原则上，对发电侧和用电侧电量追退补后，不对差错月市场发用两侧综合结算均价等进行调整。发生于历史月账期的电量，按照对应月份京津唐电网燃煤火电月度偏差电量结算价格退补电费，售电公司相关费用不再追溯。</w:t>
      </w:r>
    </w:p>
    <w:p w14:paraId="1EF36640">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首都电力交易中心负责组织发电企业、售电公司与批发用户，开展分时段电力交易相关培训及模拟测试工作。本市将根据模拟测试情况，适时对交易方式作出调整。</w:t>
      </w:r>
    </w:p>
    <w:p w14:paraId="7AA654D4">
      <w:pPr>
        <w:numPr>
          <w:ilvl w:val="0"/>
          <w:numId w:val="1"/>
        </w:numPr>
        <w:snapToGrid w:val="0"/>
        <w:spacing w:line="580" w:lineRule="exact"/>
        <w:ind w:firstLine="640" w:firstLineChars="200"/>
        <w:jc w:val="distribute"/>
        <w:rPr>
          <w:rFonts w:hint="eastAsia" w:ascii="仿宋_GB2312" w:hAnsi="仿宋_GB2312" w:cs="仿宋_GB2312"/>
          <w:bCs/>
          <w:color w:val="000000"/>
        </w:rPr>
      </w:pPr>
      <w:r>
        <w:rPr>
          <w:rFonts w:hint="eastAsia" w:ascii="仿宋_GB2312" w:hAnsi="仿宋_GB2312" w:cs="仿宋_GB2312"/>
          <w:bCs/>
          <w:color w:val="000000"/>
        </w:rPr>
        <w:t>建立零售套餐风险预警机制，首都电力交易中心应做好市场监测，当电力零售套餐价格超过市场平均预期水平</w:t>
      </w:r>
      <w:r>
        <w:rPr>
          <w:rFonts w:hint="eastAsia" w:ascii="仿宋_GB2312" w:hAnsi="仿宋_GB2312" w:cs="仿宋_GB2312"/>
          <w:bCs/>
          <w:color w:val="000000"/>
          <w:spacing w:val="-6"/>
        </w:rPr>
        <w:t>时，对相关经营主体进行风险提示，并及时上报市城市管理委。</w:t>
      </w:r>
    </w:p>
    <w:p w14:paraId="5A112FF7">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电力交易中心、首都电力交易中心共同做好北京市电力市场交易组织工作，进一步提升服务质量，优化结算、清算等工作流程，积极开展市场成员培训活动，强化交易信息月报制度，并按照相关规则及时向社会以及经营主体做好信息披露。如经营主体存在违约行为，及时做好记录，定期上报市城市管理委。</w:t>
      </w:r>
    </w:p>
    <w:p w14:paraId="606A06BF">
      <w:pPr>
        <w:numPr>
          <w:ilvl w:val="0"/>
          <w:numId w:val="1"/>
        </w:num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各有关交易主体，在交易过程中严格遵守法律法规和有关规则。不得串通报价、哄抬价格、扰乱市场秩序，不能滥用市场支配地位操纵市场价格，拥有售电公司的发电企业，不得利用“发售一体”优势直接或变相以降低所属售电公司购电成本的方式抢占市场份额，不得对民营售电公司等各类售电主体和电力大用户进行区别对待。有多个发电厂组成的发电企业进行电能量交易，不得集中报价。发电侧、售电侧相关经营主体之间不得通过线上、线下等方式在中长期双边协商交易外统一约定交易价格、电量等申报要素实现特定交易。因违反有关规则、扰乱市场秩序等影响交易正常开展的，依法追究相关单位和经营主体的责任。</w:t>
      </w:r>
    </w:p>
    <w:p w14:paraId="7B309EBC">
      <w:pPr>
        <w:numPr>
          <w:ilvl w:val="0"/>
          <w:numId w:val="1"/>
        </w:numPr>
        <w:snapToGrid w:val="0"/>
        <w:spacing w:line="580" w:lineRule="exact"/>
        <w:ind w:firstLine="640" w:firstLineChars="200"/>
        <w:jc w:val="left"/>
        <w:rPr>
          <w:rFonts w:hint="eastAsia"/>
        </w:rPr>
      </w:pPr>
      <w:r>
        <w:rPr>
          <w:rFonts w:hint="eastAsia" w:ascii="仿宋_GB2312" w:hAnsi="仿宋_GB2312" w:cs="仿宋_GB2312"/>
          <w:bCs/>
          <w:color w:val="000000"/>
        </w:rPr>
        <w:t>北京市2027年电力市场化交易按照本方案执行，如遇政策调整，由市城市管理委适时发布。京津冀北电力现货市场开展结算试运行后，相关规则另行制定。</w:t>
      </w:r>
    </w:p>
    <w:sectPr>
      <w:footerReference r:id="rId4" w:type="first"/>
      <w:footerReference r:id="rId3" w:type="default"/>
      <w:pgSz w:w="11906" w:h="16838"/>
      <w:pgMar w:top="2098" w:right="1474" w:bottom="1304" w:left="1587" w:header="851" w:footer="1304" w:gutter="0"/>
      <w:pgNumType w:fmt="numberInDash"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2CDC4F-3F83-4FCF-9150-3A7F7BC02C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C2E59A3-6D49-49C3-AD1B-8722197FDE9E}"/>
  </w:font>
  <w:font w:name="楷体_GB2312">
    <w:panose1 w:val="02010609030101010101"/>
    <w:charset w:val="86"/>
    <w:family w:val="modern"/>
    <w:pitch w:val="default"/>
    <w:sig w:usb0="00000001" w:usb1="080E0000" w:usb2="00000000" w:usb3="00000000" w:csb0="00040000" w:csb1="00000000"/>
    <w:embedRegular r:id="rId3" w:fontKey="{8162FEB1-173E-46A1-920B-6BD03132C11B}"/>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Garamond">
    <w:panose1 w:val="02020404030301010803"/>
    <w:charset w:val="00"/>
    <w:family w:val="roman"/>
    <w:pitch w:val="default"/>
    <w:sig w:usb0="00000287" w:usb1="00000000" w:usb2="00000000" w:usb3="00000000" w:csb0="0000009F" w:csb1="DFD70000"/>
  </w:font>
  <w:font w:name="华文楷体">
    <w:panose1 w:val="02010600040101010101"/>
    <w:charset w:val="86"/>
    <w:family w:val="auto"/>
    <w:pitch w:val="default"/>
    <w:sig w:usb0="00000287" w:usb1="080F0000" w:usb2="00000000" w:usb3="00000000" w:csb0="0004009F" w:csb1="DFD70000"/>
    <w:embedRegular r:id="rId4" w:fontKey="{132BB76E-815D-47E0-9EB6-361EB574E8C8}"/>
  </w:font>
  <w:font w:name="方正小标宋简体">
    <w:panose1 w:val="02000000000000000000"/>
    <w:charset w:val="86"/>
    <w:family w:val="auto"/>
    <w:pitch w:val="default"/>
    <w:sig w:usb0="A00002BF" w:usb1="184F6CFA" w:usb2="00000012" w:usb3="00000000" w:csb0="00040001" w:csb1="00000000"/>
    <w:embedRegular r:id="rId5" w:fontKey="{A7C67A76-9529-4F6F-985A-47B7B1EFD14F}"/>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292D8">
    <w:pPr>
      <w:pStyle w:val="19"/>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72F196">
                          <w:pPr>
                            <w:snapToGrid w:val="0"/>
                            <w:rPr>
                              <w:rFonts w:hint="eastAsia" w:eastAsia="宋体" w:cs="宋体"/>
                              <w:sz w:val="21"/>
                              <w:szCs w:val="21"/>
                            </w:rPr>
                          </w:pPr>
                          <w:r>
                            <w:rPr>
                              <w:rFonts w:hint="eastAsia" w:eastAsia="宋体" w:cs="宋体"/>
                              <w:sz w:val="21"/>
                              <w:szCs w:val="21"/>
                            </w:rPr>
                            <w:fldChar w:fldCharType="begin"/>
                          </w:r>
                          <w:r>
                            <w:rPr>
                              <w:rFonts w:hint="eastAsia" w:eastAsia="宋体" w:cs="宋体"/>
                              <w:sz w:val="21"/>
                              <w:szCs w:val="21"/>
                            </w:rPr>
                            <w:instrText xml:space="preserve"> PAGE  \* MERGEFORMAT </w:instrText>
                          </w:r>
                          <w:r>
                            <w:rPr>
                              <w:rFonts w:hint="eastAsia" w:eastAsia="宋体" w:cs="宋体"/>
                              <w:sz w:val="21"/>
                              <w:szCs w:val="21"/>
                            </w:rPr>
                            <w:fldChar w:fldCharType="separate"/>
                          </w:r>
                          <w:r>
                            <w:rPr>
                              <w:rFonts w:hint="eastAsia" w:eastAsia="宋体" w:cs="宋体"/>
                              <w:sz w:val="21"/>
                              <w:szCs w:val="21"/>
                            </w:rPr>
                            <w:t>2</w:t>
                          </w:r>
                          <w:r>
                            <w:rPr>
                              <w:rFonts w:hint="eastAsia"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A72F196">
                    <w:pPr>
                      <w:snapToGrid w:val="0"/>
                      <w:rPr>
                        <w:rFonts w:hint="eastAsia" w:eastAsia="宋体" w:cs="宋体"/>
                        <w:sz w:val="21"/>
                        <w:szCs w:val="21"/>
                      </w:rPr>
                    </w:pPr>
                    <w:r>
                      <w:rPr>
                        <w:rFonts w:hint="eastAsia" w:eastAsia="宋体" w:cs="宋体"/>
                        <w:sz w:val="21"/>
                        <w:szCs w:val="21"/>
                      </w:rPr>
                      <w:fldChar w:fldCharType="begin"/>
                    </w:r>
                    <w:r>
                      <w:rPr>
                        <w:rFonts w:hint="eastAsia" w:eastAsia="宋体" w:cs="宋体"/>
                        <w:sz w:val="21"/>
                        <w:szCs w:val="21"/>
                      </w:rPr>
                      <w:instrText xml:space="preserve"> PAGE  \* MERGEFORMAT </w:instrText>
                    </w:r>
                    <w:r>
                      <w:rPr>
                        <w:rFonts w:hint="eastAsia" w:eastAsia="宋体" w:cs="宋体"/>
                        <w:sz w:val="21"/>
                        <w:szCs w:val="21"/>
                      </w:rPr>
                      <w:fldChar w:fldCharType="separate"/>
                    </w:r>
                    <w:r>
                      <w:rPr>
                        <w:rFonts w:hint="eastAsia" w:eastAsia="宋体" w:cs="宋体"/>
                        <w:sz w:val="21"/>
                        <w:szCs w:val="21"/>
                      </w:rPr>
                      <w:t>2</w:t>
                    </w:r>
                    <w:r>
                      <w:rPr>
                        <w:rFonts w:hint="eastAsia" w:eastAsia="宋体" w:cs="宋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A89AB">
    <w:pPr>
      <w:pStyle w:val="19"/>
      <w:tabs>
        <w:tab w:val="center" w:pos="4422"/>
        <w:tab w:val="clear" w:pos="4153"/>
      </w:tabs>
      <w:rPr>
        <w:rFonts w:hint="eastAsia"/>
        <w:sz w:val="36"/>
        <w:szCs w:val="36"/>
      </w:rPr>
    </w:pPr>
    <w:r>
      <w:rPr>
        <w:sz w:val="36"/>
        <w:szCs w:val="36"/>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C40CE">
                          <w:pPr>
                            <w:pStyle w:val="19"/>
                            <w:rPr>
                              <w:rFonts w:hint="eastAsia"/>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64C40CE">
                    <w:pPr>
                      <w:pStyle w:val="19"/>
                      <w:rPr>
                        <w:rFonts w:hint="eastAsia"/>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r>
      <w:rPr>
        <w:rFonts w:hint="eastAsia"/>
        <w:sz w:val="36"/>
        <w:szCs w:val="36"/>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suff w:val="nothing"/>
      <w:lvlText w:val="（%1）"/>
      <w:lvlJc w:val="left"/>
      <w:pPr>
        <w:ind w:left="0" w:firstLine="420"/>
      </w:pPr>
      <w:rPr>
        <w:rFonts w:hint="eastAsia" w:ascii="仿宋_GB2312" w:eastAsia="仿宋_GB2312" w:cs="仿宋_GB2312"/>
        <w:sz w:val="32"/>
        <w:szCs w:val="32"/>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1"/>
  <w:bordersDoNotSurroundFooter w:val="1"/>
  <w:documentProtection w:enforcement="0"/>
  <w:defaultTabStop w:val="420"/>
  <w:drawingGridHorizontalSpacing w:val="16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1NDNmMjBmZjExNTQyMzAzZjQ3ZjU2YTJjZDliMDUifQ=="/>
  </w:docVars>
  <w:rsids>
    <w:rsidRoot w:val="00172A27"/>
    <w:rsid w:val="00000446"/>
    <w:rsid w:val="000008EF"/>
    <w:rsid w:val="00000AC4"/>
    <w:rsid w:val="000010DA"/>
    <w:rsid w:val="00001367"/>
    <w:rsid w:val="00001BF6"/>
    <w:rsid w:val="00002985"/>
    <w:rsid w:val="00003142"/>
    <w:rsid w:val="00003733"/>
    <w:rsid w:val="00003B08"/>
    <w:rsid w:val="00003CE3"/>
    <w:rsid w:val="00003F62"/>
    <w:rsid w:val="000049A2"/>
    <w:rsid w:val="00004C7B"/>
    <w:rsid w:val="00004D78"/>
    <w:rsid w:val="00005289"/>
    <w:rsid w:val="00005661"/>
    <w:rsid w:val="000062A4"/>
    <w:rsid w:val="00006843"/>
    <w:rsid w:val="00006F7E"/>
    <w:rsid w:val="000078D4"/>
    <w:rsid w:val="0001079D"/>
    <w:rsid w:val="000116FD"/>
    <w:rsid w:val="00011817"/>
    <w:rsid w:val="00012B3A"/>
    <w:rsid w:val="000135EC"/>
    <w:rsid w:val="00013AF7"/>
    <w:rsid w:val="00014062"/>
    <w:rsid w:val="00014F95"/>
    <w:rsid w:val="0001561E"/>
    <w:rsid w:val="00015CEB"/>
    <w:rsid w:val="00015FEB"/>
    <w:rsid w:val="00016031"/>
    <w:rsid w:val="00016275"/>
    <w:rsid w:val="00016F9E"/>
    <w:rsid w:val="00020EAD"/>
    <w:rsid w:val="00022033"/>
    <w:rsid w:val="000222E1"/>
    <w:rsid w:val="0002277C"/>
    <w:rsid w:val="0002283A"/>
    <w:rsid w:val="00023EB5"/>
    <w:rsid w:val="00025603"/>
    <w:rsid w:val="00026155"/>
    <w:rsid w:val="0002772F"/>
    <w:rsid w:val="000332C6"/>
    <w:rsid w:val="00033B11"/>
    <w:rsid w:val="00033EE4"/>
    <w:rsid w:val="000346D2"/>
    <w:rsid w:val="00035963"/>
    <w:rsid w:val="00035A26"/>
    <w:rsid w:val="00035CF1"/>
    <w:rsid w:val="00036240"/>
    <w:rsid w:val="0003665D"/>
    <w:rsid w:val="000368D3"/>
    <w:rsid w:val="00036CB2"/>
    <w:rsid w:val="0003708B"/>
    <w:rsid w:val="00037723"/>
    <w:rsid w:val="00040D0C"/>
    <w:rsid w:val="00041BAB"/>
    <w:rsid w:val="00041EEA"/>
    <w:rsid w:val="00043431"/>
    <w:rsid w:val="000438F2"/>
    <w:rsid w:val="00043A1A"/>
    <w:rsid w:val="00046E77"/>
    <w:rsid w:val="0005035A"/>
    <w:rsid w:val="00053428"/>
    <w:rsid w:val="00054A92"/>
    <w:rsid w:val="00055A08"/>
    <w:rsid w:val="0005625A"/>
    <w:rsid w:val="0005692D"/>
    <w:rsid w:val="00057A0B"/>
    <w:rsid w:val="00057D35"/>
    <w:rsid w:val="00057F85"/>
    <w:rsid w:val="000625C3"/>
    <w:rsid w:val="00062B9E"/>
    <w:rsid w:val="00063693"/>
    <w:rsid w:val="000646E6"/>
    <w:rsid w:val="00064852"/>
    <w:rsid w:val="00064896"/>
    <w:rsid w:val="000652A4"/>
    <w:rsid w:val="00065D01"/>
    <w:rsid w:val="00066D4A"/>
    <w:rsid w:val="00066E6D"/>
    <w:rsid w:val="00066F46"/>
    <w:rsid w:val="00067343"/>
    <w:rsid w:val="000675A6"/>
    <w:rsid w:val="00072AA9"/>
    <w:rsid w:val="000735E8"/>
    <w:rsid w:val="000738C7"/>
    <w:rsid w:val="00074357"/>
    <w:rsid w:val="00074C8D"/>
    <w:rsid w:val="00074D52"/>
    <w:rsid w:val="00075E6E"/>
    <w:rsid w:val="00075F75"/>
    <w:rsid w:val="00076250"/>
    <w:rsid w:val="00077576"/>
    <w:rsid w:val="000809FB"/>
    <w:rsid w:val="0008547B"/>
    <w:rsid w:val="000863C8"/>
    <w:rsid w:val="0008643B"/>
    <w:rsid w:val="00091A93"/>
    <w:rsid w:val="0009257A"/>
    <w:rsid w:val="00092C8E"/>
    <w:rsid w:val="00093824"/>
    <w:rsid w:val="00094D57"/>
    <w:rsid w:val="00096287"/>
    <w:rsid w:val="00096843"/>
    <w:rsid w:val="000968F3"/>
    <w:rsid w:val="00096B7D"/>
    <w:rsid w:val="000A0F75"/>
    <w:rsid w:val="000A0F7A"/>
    <w:rsid w:val="000A17B0"/>
    <w:rsid w:val="000A2585"/>
    <w:rsid w:val="000A2823"/>
    <w:rsid w:val="000A2F39"/>
    <w:rsid w:val="000A3669"/>
    <w:rsid w:val="000A6EC0"/>
    <w:rsid w:val="000A7049"/>
    <w:rsid w:val="000A72AB"/>
    <w:rsid w:val="000B063F"/>
    <w:rsid w:val="000B0AFE"/>
    <w:rsid w:val="000B221E"/>
    <w:rsid w:val="000B2439"/>
    <w:rsid w:val="000B2C99"/>
    <w:rsid w:val="000B2CE7"/>
    <w:rsid w:val="000B3390"/>
    <w:rsid w:val="000B3D62"/>
    <w:rsid w:val="000B4793"/>
    <w:rsid w:val="000B4C39"/>
    <w:rsid w:val="000B667B"/>
    <w:rsid w:val="000B6D9E"/>
    <w:rsid w:val="000B7046"/>
    <w:rsid w:val="000B73A2"/>
    <w:rsid w:val="000C03BB"/>
    <w:rsid w:val="000C1087"/>
    <w:rsid w:val="000C2AA5"/>
    <w:rsid w:val="000C3490"/>
    <w:rsid w:val="000C35DA"/>
    <w:rsid w:val="000C3FEF"/>
    <w:rsid w:val="000C4EC7"/>
    <w:rsid w:val="000C6243"/>
    <w:rsid w:val="000C65BD"/>
    <w:rsid w:val="000C69C7"/>
    <w:rsid w:val="000C69FF"/>
    <w:rsid w:val="000C774E"/>
    <w:rsid w:val="000D0A06"/>
    <w:rsid w:val="000D195B"/>
    <w:rsid w:val="000D3D4A"/>
    <w:rsid w:val="000D3F03"/>
    <w:rsid w:val="000D40D6"/>
    <w:rsid w:val="000D7B38"/>
    <w:rsid w:val="000E02D4"/>
    <w:rsid w:val="000E18E5"/>
    <w:rsid w:val="000E1F66"/>
    <w:rsid w:val="000E4519"/>
    <w:rsid w:val="000E4CDA"/>
    <w:rsid w:val="000E4D33"/>
    <w:rsid w:val="000E5276"/>
    <w:rsid w:val="000E5FC5"/>
    <w:rsid w:val="000E64F6"/>
    <w:rsid w:val="000F1F88"/>
    <w:rsid w:val="000F1FC8"/>
    <w:rsid w:val="000F4AB0"/>
    <w:rsid w:val="000F4B52"/>
    <w:rsid w:val="000F4E12"/>
    <w:rsid w:val="000F4F3A"/>
    <w:rsid w:val="000F571B"/>
    <w:rsid w:val="000F5DF5"/>
    <w:rsid w:val="000F78E7"/>
    <w:rsid w:val="000F794B"/>
    <w:rsid w:val="000F7E52"/>
    <w:rsid w:val="001007A2"/>
    <w:rsid w:val="00100D09"/>
    <w:rsid w:val="00100FF8"/>
    <w:rsid w:val="0010359F"/>
    <w:rsid w:val="00104260"/>
    <w:rsid w:val="00104C35"/>
    <w:rsid w:val="0010588F"/>
    <w:rsid w:val="00106281"/>
    <w:rsid w:val="00107348"/>
    <w:rsid w:val="00110E2F"/>
    <w:rsid w:val="00111B11"/>
    <w:rsid w:val="00112071"/>
    <w:rsid w:val="001126F2"/>
    <w:rsid w:val="001128AF"/>
    <w:rsid w:val="00114E08"/>
    <w:rsid w:val="001152DB"/>
    <w:rsid w:val="001159D8"/>
    <w:rsid w:val="001164F5"/>
    <w:rsid w:val="001171C6"/>
    <w:rsid w:val="00117AA2"/>
    <w:rsid w:val="00120771"/>
    <w:rsid w:val="00121238"/>
    <w:rsid w:val="00121588"/>
    <w:rsid w:val="00121BB0"/>
    <w:rsid w:val="001221F2"/>
    <w:rsid w:val="00125CE3"/>
    <w:rsid w:val="00131727"/>
    <w:rsid w:val="00131B9D"/>
    <w:rsid w:val="00132B0F"/>
    <w:rsid w:val="00133357"/>
    <w:rsid w:val="00135DD1"/>
    <w:rsid w:val="00136586"/>
    <w:rsid w:val="001368A0"/>
    <w:rsid w:val="0014029E"/>
    <w:rsid w:val="00141CC6"/>
    <w:rsid w:val="001421F5"/>
    <w:rsid w:val="0014299A"/>
    <w:rsid w:val="001432E8"/>
    <w:rsid w:val="00144478"/>
    <w:rsid w:val="00144A04"/>
    <w:rsid w:val="001455FB"/>
    <w:rsid w:val="0014652F"/>
    <w:rsid w:val="00146DE8"/>
    <w:rsid w:val="00147566"/>
    <w:rsid w:val="0014775D"/>
    <w:rsid w:val="00147F74"/>
    <w:rsid w:val="00150666"/>
    <w:rsid w:val="00150ACD"/>
    <w:rsid w:val="00150BB4"/>
    <w:rsid w:val="00151144"/>
    <w:rsid w:val="001515E1"/>
    <w:rsid w:val="0015205B"/>
    <w:rsid w:val="00153493"/>
    <w:rsid w:val="001536D0"/>
    <w:rsid w:val="00153E37"/>
    <w:rsid w:val="00154085"/>
    <w:rsid w:val="00154E03"/>
    <w:rsid w:val="00154ED9"/>
    <w:rsid w:val="00155CCD"/>
    <w:rsid w:val="00155E6E"/>
    <w:rsid w:val="0015636F"/>
    <w:rsid w:val="001565EF"/>
    <w:rsid w:val="001573A1"/>
    <w:rsid w:val="00161241"/>
    <w:rsid w:val="00161284"/>
    <w:rsid w:val="00161851"/>
    <w:rsid w:val="001619C7"/>
    <w:rsid w:val="0016251E"/>
    <w:rsid w:val="00162EB8"/>
    <w:rsid w:val="00164357"/>
    <w:rsid w:val="001646A1"/>
    <w:rsid w:val="00164988"/>
    <w:rsid w:val="00165688"/>
    <w:rsid w:val="00166654"/>
    <w:rsid w:val="001667B1"/>
    <w:rsid w:val="00166A95"/>
    <w:rsid w:val="00167376"/>
    <w:rsid w:val="001675D6"/>
    <w:rsid w:val="0017147F"/>
    <w:rsid w:val="00171840"/>
    <w:rsid w:val="001718AD"/>
    <w:rsid w:val="00172A27"/>
    <w:rsid w:val="00172D66"/>
    <w:rsid w:val="00173690"/>
    <w:rsid w:val="00174703"/>
    <w:rsid w:val="00174A0B"/>
    <w:rsid w:val="00174A5A"/>
    <w:rsid w:val="001753F3"/>
    <w:rsid w:val="00175558"/>
    <w:rsid w:val="001755C0"/>
    <w:rsid w:val="0017584C"/>
    <w:rsid w:val="00176EF8"/>
    <w:rsid w:val="001771DB"/>
    <w:rsid w:val="001774B2"/>
    <w:rsid w:val="001801E7"/>
    <w:rsid w:val="001817B5"/>
    <w:rsid w:val="00182158"/>
    <w:rsid w:val="00182DBE"/>
    <w:rsid w:val="001837D3"/>
    <w:rsid w:val="001839FC"/>
    <w:rsid w:val="00184214"/>
    <w:rsid w:val="00184F49"/>
    <w:rsid w:val="00185164"/>
    <w:rsid w:val="001866D6"/>
    <w:rsid w:val="00187BEF"/>
    <w:rsid w:val="001927B1"/>
    <w:rsid w:val="00192C3E"/>
    <w:rsid w:val="00192CBE"/>
    <w:rsid w:val="00192DC0"/>
    <w:rsid w:val="00193B65"/>
    <w:rsid w:val="00193D60"/>
    <w:rsid w:val="001947DA"/>
    <w:rsid w:val="00194B69"/>
    <w:rsid w:val="00194BFC"/>
    <w:rsid w:val="00195A78"/>
    <w:rsid w:val="00196A63"/>
    <w:rsid w:val="00196E0B"/>
    <w:rsid w:val="001A0714"/>
    <w:rsid w:val="001A0FD2"/>
    <w:rsid w:val="001A1418"/>
    <w:rsid w:val="001A17AE"/>
    <w:rsid w:val="001A20EB"/>
    <w:rsid w:val="001A54DA"/>
    <w:rsid w:val="001A5583"/>
    <w:rsid w:val="001A7B25"/>
    <w:rsid w:val="001A7E3E"/>
    <w:rsid w:val="001B01E3"/>
    <w:rsid w:val="001B1EEA"/>
    <w:rsid w:val="001B4097"/>
    <w:rsid w:val="001B4DF7"/>
    <w:rsid w:val="001B5A28"/>
    <w:rsid w:val="001B6BB6"/>
    <w:rsid w:val="001B7597"/>
    <w:rsid w:val="001C0F85"/>
    <w:rsid w:val="001C1A25"/>
    <w:rsid w:val="001C3429"/>
    <w:rsid w:val="001C3623"/>
    <w:rsid w:val="001C3C94"/>
    <w:rsid w:val="001C4570"/>
    <w:rsid w:val="001C4742"/>
    <w:rsid w:val="001C4B70"/>
    <w:rsid w:val="001C598E"/>
    <w:rsid w:val="001C5B8B"/>
    <w:rsid w:val="001D05B1"/>
    <w:rsid w:val="001D0B3B"/>
    <w:rsid w:val="001D1826"/>
    <w:rsid w:val="001D214A"/>
    <w:rsid w:val="001D2B65"/>
    <w:rsid w:val="001D3FCE"/>
    <w:rsid w:val="001D4C52"/>
    <w:rsid w:val="001D623C"/>
    <w:rsid w:val="001D6831"/>
    <w:rsid w:val="001D77BE"/>
    <w:rsid w:val="001E130B"/>
    <w:rsid w:val="001E14C8"/>
    <w:rsid w:val="001E1CDA"/>
    <w:rsid w:val="001E2EB8"/>
    <w:rsid w:val="001E3257"/>
    <w:rsid w:val="001E4154"/>
    <w:rsid w:val="001E4983"/>
    <w:rsid w:val="001E4D6C"/>
    <w:rsid w:val="001E5473"/>
    <w:rsid w:val="001E5ABB"/>
    <w:rsid w:val="001E5BFF"/>
    <w:rsid w:val="001E6420"/>
    <w:rsid w:val="001E6FD3"/>
    <w:rsid w:val="001E7DD7"/>
    <w:rsid w:val="001F04F3"/>
    <w:rsid w:val="001F124D"/>
    <w:rsid w:val="001F1580"/>
    <w:rsid w:val="001F21CA"/>
    <w:rsid w:val="001F326A"/>
    <w:rsid w:val="001F40A2"/>
    <w:rsid w:val="001F4282"/>
    <w:rsid w:val="001F44D3"/>
    <w:rsid w:val="001F6CD6"/>
    <w:rsid w:val="00200015"/>
    <w:rsid w:val="002000A0"/>
    <w:rsid w:val="0020012E"/>
    <w:rsid w:val="0020140E"/>
    <w:rsid w:val="00201479"/>
    <w:rsid w:val="00201C84"/>
    <w:rsid w:val="00201EF1"/>
    <w:rsid w:val="002029AE"/>
    <w:rsid w:val="00203408"/>
    <w:rsid w:val="002036AC"/>
    <w:rsid w:val="00203A94"/>
    <w:rsid w:val="00203EF7"/>
    <w:rsid w:val="0020506B"/>
    <w:rsid w:val="002051E6"/>
    <w:rsid w:val="00205A87"/>
    <w:rsid w:val="00211D66"/>
    <w:rsid w:val="00213025"/>
    <w:rsid w:val="002132FE"/>
    <w:rsid w:val="002134F8"/>
    <w:rsid w:val="0021365C"/>
    <w:rsid w:val="0021585F"/>
    <w:rsid w:val="002179B1"/>
    <w:rsid w:val="0022298E"/>
    <w:rsid w:val="00223659"/>
    <w:rsid w:val="00223E36"/>
    <w:rsid w:val="00227CC6"/>
    <w:rsid w:val="00227D89"/>
    <w:rsid w:val="002317E6"/>
    <w:rsid w:val="00233039"/>
    <w:rsid w:val="00233CA5"/>
    <w:rsid w:val="00233F81"/>
    <w:rsid w:val="00234054"/>
    <w:rsid w:val="00235942"/>
    <w:rsid w:val="00237429"/>
    <w:rsid w:val="0024054C"/>
    <w:rsid w:val="00241516"/>
    <w:rsid w:val="00242966"/>
    <w:rsid w:val="002439F4"/>
    <w:rsid w:val="00243C32"/>
    <w:rsid w:val="00244643"/>
    <w:rsid w:val="0024514E"/>
    <w:rsid w:val="0024571B"/>
    <w:rsid w:val="00247045"/>
    <w:rsid w:val="002474E8"/>
    <w:rsid w:val="002476CC"/>
    <w:rsid w:val="002479F9"/>
    <w:rsid w:val="00247FDF"/>
    <w:rsid w:val="0025138E"/>
    <w:rsid w:val="00252DE0"/>
    <w:rsid w:val="00253161"/>
    <w:rsid w:val="002531CC"/>
    <w:rsid w:val="002536F0"/>
    <w:rsid w:val="002540B7"/>
    <w:rsid w:val="00254812"/>
    <w:rsid w:val="00254846"/>
    <w:rsid w:val="0025616B"/>
    <w:rsid w:val="002571C8"/>
    <w:rsid w:val="002577D3"/>
    <w:rsid w:val="00260B9B"/>
    <w:rsid w:val="00261256"/>
    <w:rsid w:val="00264207"/>
    <w:rsid w:val="002647F5"/>
    <w:rsid w:val="00265424"/>
    <w:rsid w:val="00265513"/>
    <w:rsid w:val="00266410"/>
    <w:rsid w:val="002669A6"/>
    <w:rsid w:val="00267BF5"/>
    <w:rsid w:val="002729D4"/>
    <w:rsid w:val="002730DB"/>
    <w:rsid w:val="00273554"/>
    <w:rsid w:val="00274556"/>
    <w:rsid w:val="002753E3"/>
    <w:rsid w:val="00275539"/>
    <w:rsid w:val="00275FDE"/>
    <w:rsid w:val="00276149"/>
    <w:rsid w:val="00276C8E"/>
    <w:rsid w:val="002779A6"/>
    <w:rsid w:val="00280028"/>
    <w:rsid w:val="002808B2"/>
    <w:rsid w:val="002824A9"/>
    <w:rsid w:val="00282646"/>
    <w:rsid w:val="00285ED0"/>
    <w:rsid w:val="00286570"/>
    <w:rsid w:val="0028671D"/>
    <w:rsid w:val="00286FFE"/>
    <w:rsid w:val="00287945"/>
    <w:rsid w:val="00287F20"/>
    <w:rsid w:val="00287F8D"/>
    <w:rsid w:val="002903EE"/>
    <w:rsid w:val="00290BB6"/>
    <w:rsid w:val="0029115C"/>
    <w:rsid w:val="00291CE7"/>
    <w:rsid w:val="00292CDA"/>
    <w:rsid w:val="00292FB2"/>
    <w:rsid w:val="00293612"/>
    <w:rsid w:val="002952D8"/>
    <w:rsid w:val="00295982"/>
    <w:rsid w:val="002974C9"/>
    <w:rsid w:val="002A0207"/>
    <w:rsid w:val="002A17FB"/>
    <w:rsid w:val="002A436C"/>
    <w:rsid w:val="002A69DF"/>
    <w:rsid w:val="002A732D"/>
    <w:rsid w:val="002A78E7"/>
    <w:rsid w:val="002A799B"/>
    <w:rsid w:val="002B26E7"/>
    <w:rsid w:val="002B2A27"/>
    <w:rsid w:val="002B349C"/>
    <w:rsid w:val="002B35FE"/>
    <w:rsid w:val="002B3B1E"/>
    <w:rsid w:val="002B456A"/>
    <w:rsid w:val="002B564D"/>
    <w:rsid w:val="002B57B0"/>
    <w:rsid w:val="002B68C1"/>
    <w:rsid w:val="002B692D"/>
    <w:rsid w:val="002B6E86"/>
    <w:rsid w:val="002B7FD0"/>
    <w:rsid w:val="002C052B"/>
    <w:rsid w:val="002C05A7"/>
    <w:rsid w:val="002C075C"/>
    <w:rsid w:val="002C07CC"/>
    <w:rsid w:val="002C1159"/>
    <w:rsid w:val="002C1571"/>
    <w:rsid w:val="002C1DEE"/>
    <w:rsid w:val="002C2731"/>
    <w:rsid w:val="002C2A0D"/>
    <w:rsid w:val="002C2A34"/>
    <w:rsid w:val="002C3ED3"/>
    <w:rsid w:val="002C77D2"/>
    <w:rsid w:val="002D00D8"/>
    <w:rsid w:val="002D27B8"/>
    <w:rsid w:val="002D291D"/>
    <w:rsid w:val="002D2E70"/>
    <w:rsid w:val="002D3E2A"/>
    <w:rsid w:val="002D4F73"/>
    <w:rsid w:val="002D5C8D"/>
    <w:rsid w:val="002D6180"/>
    <w:rsid w:val="002D672E"/>
    <w:rsid w:val="002E2ECC"/>
    <w:rsid w:val="002E420C"/>
    <w:rsid w:val="002E437F"/>
    <w:rsid w:val="002E467B"/>
    <w:rsid w:val="002E47AE"/>
    <w:rsid w:val="002E47CD"/>
    <w:rsid w:val="002E4976"/>
    <w:rsid w:val="002E648F"/>
    <w:rsid w:val="002E66F0"/>
    <w:rsid w:val="002F0B43"/>
    <w:rsid w:val="002F108F"/>
    <w:rsid w:val="002F12E7"/>
    <w:rsid w:val="002F1F26"/>
    <w:rsid w:val="002F45AC"/>
    <w:rsid w:val="002F45C1"/>
    <w:rsid w:val="002F4733"/>
    <w:rsid w:val="002F5814"/>
    <w:rsid w:val="002F5DC8"/>
    <w:rsid w:val="002F631D"/>
    <w:rsid w:val="002F6403"/>
    <w:rsid w:val="003005AF"/>
    <w:rsid w:val="00300C29"/>
    <w:rsid w:val="00302BE6"/>
    <w:rsid w:val="00303680"/>
    <w:rsid w:val="00304B6F"/>
    <w:rsid w:val="00304CF3"/>
    <w:rsid w:val="00304E68"/>
    <w:rsid w:val="003056D2"/>
    <w:rsid w:val="00306D60"/>
    <w:rsid w:val="0030767C"/>
    <w:rsid w:val="00310C8F"/>
    <w:rsid w:val="00311A17"/>
    <w:rsid w:val="00311AA9"/>
    <w:rsid w:val="00311BAF"/>
    <w:rsid w:val="003151A8"/>
    <w:rsid w:val="00315980"/>
    <w:rsid w:val="00315C3A"/>
    <w:rsid w:val="00316343"/>
    <w:rsid w:val="00316A75"/>
    <w:rsid w:val="003170C0"/>
    <w:rsid w:val="00317620"/>
    <w:rsid w:val="00317734"/>
    <w:rsid w:val="00320087"/>
    <w:rsid w:val="00320EB1"/>
    <w:rsid w:val="003240F5"/>
    <w:rsid w:val="00326471"/>
    <w:rsid w:val="00330B32"/>
    <w:rsid w:val="0033108E"/>
    <w:rsid w:val="0033241A"/>
    <w:rsid w:val="0033283C"/>
    <w:rsid w:val="00333FA9"/>
    <w:rsid w:val="00335544"/>
    <w:rsid w:val="00335AD3"/>
    <w:rsid w:val="00336FFC"/>
    <w:rsid w:val="0033793C"/>
    <w:rsid w:val="00340777"/>
    <w:rsid w:val="003411FF"/>
    <w:rsid w:val="003414EC"/>
    <w:rsid w:val="00343787"/>
    <w:rsid w:val="003441C4"/>
    <w:rsid w:val="00344755"/>
    <w:rsid w:val="003447B8"/>
    <w:rsid w:val="0034584A"/>
    <w:rsid w:val="00350183"/>
    <w:rsid w:val="00350E08"/>
    <w:rsid w:val="00351F6E"/>
    <w:rsid w:val="00351FE3"/>
    <w:rsid w:val="0035227A"/>
    <w:rsid w:val="00352B28"/>
    <w:rsid w:val="003536C6"/>
    <w:rsid w:val="00354A9E"/>
    <w:rsid w:val="00355810"/>
    <w:rsid w:val="00357054"/>
    <w:rsid w:val="00357B4C"/>
    <w:rsid w:val="00360A6F"/>
    <w:rsid w:val="003611F4"/>
    <w:rsid w:val="00362052"/>
    <w:rsid w:val="00362F67"/>
    <w:rsid w:val="003639BF"/>
    <w:rsid w:val="003647E3"/>
    <w:rsid w:val="0036525D"/>
    <w:rsid w:val="00365FD1"/>
    <w:rsid w:val="00367279"/>
    <w:rsid w:val="0037058D"/>
    <w:rsid w:val="003706D5"/>
    <w:rsid w:val="00370CAE"/>
    <w:rsid w:val="003712F2"/>
    <w:rsid w:val="0037584B"/>
    <w:rsid w:val="003758F9"/>
    <w:rsid w:val="00375C12"/>
    <w:rsid w:val="00376135"/>
    <w:rsid w:val="003763B4"/>
    <w:rsid w:val="003774E6"/>
    <w:rsid w:val="003802EE"/>
    <w:rsid w:val="0038134F"/>
    <w:rsid w:val="0038266C"/>
    <w:rsid w:val="00382717"/>
    <w:rsid w:val="00384259"/>
    <w:rsid w:val="00384F66"/>
    <w:rsid w:val="003853B3"/>
    <w:rsid w:val="00386E95"/>
    <w:rsid w:val="003879C4"/>
    <w:rsid w:val="00391C55"/>
    <w:rsid w:val="00392030"/>
    <w:rsid w:val="00392D17"/>
    <w:rsid w:val="003937A0"/>
    <w:rsid w:val="003957AA"/>
    <w:rsid w:val="00395834"/>
    <w:rsid w:val="00395EF2"/>
    <w:rsid w:val="0039799E"/>
    <w:rsid w:val="003A01EB"/>
    <w:rsid w:val="003A1C82"/>
    <w:rsid w:val="003A227E"/>
    <w:rsid w:val="003A24D4"/>
    <w:rsid w:val="003A2503"/>
    <w:rsid w:val="003A4764"/>
    <w:rsid w:val="003A4916"/>
    <w:rsid w:val="003A4BCD"/>
    <w:rsid w:val="003A5258"/>
    <w:rsid w:val="003A7F47"/>
    <w:rsid w:val="003B0478"/>
    <w:rsid w:val="003B0CC1"/>
    <w:rsid w:val="003B163E"/>
    <w:rsid w:val="003B412E"/>
    <w:rsid w:val="003B45F4"/>
    <w:rsid w:val="003B4ACD"/>
    <w:rsid w:val="003C1534"/>
    <w:rsid w:val="003C1A2B"/>
    <w:rsid w:val="003C1EFF"/>
    <w:rsid w:val="003C3B8B"/>
    <w:rsid w:val="003C5759"/>
    <w:rsid w:val="003C645C"/>
    <w:rsid w:val="003C7123"/>
    <w:rsid w:val="003C7F90"/>
    <w:rsid w:val="003D222C"/>
    <w:rsid w:val="003D23CF"/>
    <w:rsid w:val="003D5547"/>
    <w:rsid w:val="003D5914"/>
    <w:rsid w:val="003D67CB"/>
    <w:rsid w:val="003D6B57"/>
    <w:rsid w:val="003D6DA4"/>
    <w:rsid w:val="003D788B"/>
    <w:rsid w:val="003D79D4"/>
    <w:rsid w:val="003D7A3A"/>
    <w:rsid w:val="003E0735"/>
    <w:rsid w:val="003E0B30"/>
    <w:rsid w:val="003E21C8"/>
    <w:rsid w:val="003E2DAF"/>
    <w:rsid w:val="003E32D5"/>
    <w:rsid w:val="003E39BC"/>
    <w:rsid w:val="003E4692"/>
    <w:rsid w:val="003E62A0"/>
    <w:rsid w:val="003E68DA"/>
    <w:rsid w:val="003E7974"/>
    <w:rsid w:val="003E7D9C"/>
    <w:rsid w:val="003E7DAB"/>
    <w:rsid w:val="003F0222"/>
    <w:rsid w:val="003F14A6"/>
    <w:rsid w:val="003F3F1F"/>
    <w:rsid w:val="003F44D5"/>
    <w:rsid w:val="003F4FE6"/>
    <w:rsid w:val="003F50CF"/>
    <w:rsid w:val="003F5489"/>
    <w:rsid w:val="003F60F2"/>
    <w:rsid w:val="003F6B26"/>
    <w:rsid w:val="003F723C"/>
    <w:rsid w:val="00402AF0"/>
    <w:rsid w:val="0040303E"/>
    <w:rsid w:val="00405B45"/>
    <w:rsid w:val="00405EA2"/>
    <w:rsid w:val="00406F15"/>
    <w:rsid w:val="004072B9"/>
    <w:rsid w:val="0041021E"/>
    <w:rsid w:val="00410636"/>
    <w:rsid w:val="00412321"/>
    <w:rsid w:val="004124DA"/>
    <w:rsid w:val="00412993"/>
    <w:rsid w:val="00412A2F"/>
    <w:rsid w:val="004141F9"/>
    <w:rsid w:val="00415383"/>
    <w:rsid w:val="004168F0"/>
    <w:rsid w:val="00420274"/>
    <w:rsid w:val="00420B76"/>
    <w:rsid w:val="00420B97"/>
    <w:rsid w:val="004229D0"/>
    <w:rsid w:val="00423990"/>
    <w:rsid w:val="004239E7"/>
    <w:rsid w:val="00423A42"/>
    <w:rsid w:val="00423F95"/>
    <w:rsid w:val="00424FB9"/>
    <w:rsid w:val="004310C9"/>
    <w:rsid w:val="0043110A"/>
    <w:rsid w:val="0043184D"/>
    <w:rsid w:val="00437C04"/>
    <w:rsid w:val="004405DB"/>
    <w:rsid w:val="004406BB"/>
    <w:rsid w:val="004416DD"/>
    <w:rsid w:val="00441966"/>
    <w:rsid w:val="00442040"/>
    <w:rsid w:val="0044207D"/>
    <w:rsid w:val="00442281"/>
    <w:rsid w:val="00444CA8"/>
    <w:rsid w:val="00445614"/>
    <w:rsid w:val="00447A2E"/>
    <w:rsid w:val="0045072B"/>
    <w:rsid w:val="004511C7"/>
    <w:rsid w:val="00451618"/>
    <w:rsid w:val="00451F4C"/>
    <w:rsid w:val="00452027"/>
    <w:rsid w:val="004520AC"/>
    <w:rsid w:val="00452D6E"/>
    <w:rsid w:val="00453DB4"/>
    <w:rsid w:val="004547CE"/>
    <w:rsid w:val="0045485A"/>
    <w:rsid w:val="00454874"/>
    <w:rsid w:val="00454BE9"/>
    <w:rsid w:val="0045585D"/>
    <w:rsid w:val="00456E13"/>
    <w:rsid w:val="00460CEB"/>
    <w:rsid w:val="0046107E"/>
    <w:rsid w:val="00461DCB"/>
    <w:rsid w:val="0046213B"/>
    <w:rsid w:val="004621D3"/>
    <w:rsid w:val="00462D5A"/>
    <w:rsid w:val="00463BDC"/>
    <w:rsid w:val="00464316"/>
    <w:rsid w:val="00464585"/>
    <w:rsid w:val="0046536F"/>
    <w:rsid w:val="00465F63"/>
    <w:rsid w:val="004660A5"/>
    <w:rsid w:val="0046622A"/>
    <w:rsid w:val="00466468"/>
    <w:rsid w:val="00470300"/>
    <w:rsid w:val="00472172"/>
    <w:rsid w:val="00472DB4"/>
    <w:rsid w:val="00474BA1"/>
    <w:rsid w:val="00474FD1"/>
    <w:rsid w:val="00475184"/>
    <w:rsid w:val="004756EA"/>
    <w:rsid w:val="00475AFB"/>
    <w:rsid w:val="0047683E"/>
    <w:rsid w:val="00476A47"/>
    <w:rsid w:val="00476AA5"/>
    <w:rsid w:val="00477AA2"/>
    <w:rsid w:val="00480599"/>
    <w:rsid w:val="00480741"/>
    <w:rsid w:val="004812D3"/>
    <w:rsid w:val="0048262F"/>
    <w:rsid w:val="0048357E"/>
    <w:rsid w:val="0048425E"/>
    <w:rsid w:val="00484406"/>
    <w:rsid w:val="004845D7"/>
    <w:rsid w:val="004846A6"/>
    <w:rsid w:val="0048564D"/>
    <w:rsid w:val="00486235"/>
    <w:rsid w:val="00487259"/>
    <w:rsid w:val="00487DB7"/>
    <w:rsid w:val="00487E8C"/>
    <w:rsid w:val="00491A7F"/>
    <w:rsid w:val="004920EF"/>
    <w:rsid w:val="004929BC"/>
    <w:rsid w:val="00492AED"/>
    <w:rsid w:val="00492F4F"/>
    <w:rsid w:val="0049340F"/>
    <w:rsid w:val="0049456B"/>
    <w:rsid w:val="00494F69"/>
    <w:rsid w:val="004953D8"/>
    <w:rsid w:val="004955CE"/>
    <w:rsid w:val="00495C1D"/>
    <w:rsid w:val="00497699"/>
    <w:rsid w:val="004A02E8"/>
    <w:rsid w:val="004A1E6B"/>
    <w:rsid w:val="004A1ED7"/>
    <w:rsid w:val="004A31DA"/>
    <w:rsid w:val="004A3B60"/>
    <w:rsid w:val="004A3C6D"/>
    <w:rsid w:val="004A4CEB"/>
    <w:rsid w:val="004A6D49"/>
    <w:rsid w:val="004A703F"/>
    <w:rsid w:val="004A73EF"/>
    <w:rsid w:val="004B240D"/>
    <w:rsid w:val="004B3830"/>
    <w:rsid w:val="004B3B6C"/>
    <w:rsid w:val="004B439F"/>
    <w:rsid w:val="004B5364"/>
    <w:rsid w:val="004B592E"/>
    <w:rsid w:val="004B6E23"/>
    <w:rsid w:val="004C0395"/>
    <w:rsid w:val="004C0563"/>
    <w:rsid w:val="004C17B2"/>
    <w:rsid w:val="004C30AC"/>
    <w:rsid w:val="004C3B29"/>
    <w:rsid w:val="004C498C"/>
    <w:rsid w:val="004D0D5F"/>
    <w:rsid w:val="004D0DC9"/>
    <w:rsid w:val="004D127F"/>
    <w:rsid w:val="004D2DF1"/>
    <w:rsid w:val="004D32FB"/>
    <w:rsid w:val="004D34DC"/>
    <w:rsid w:val="004D4548"/>
    <w:rsid w:val="004D5142"/>
    <w:rsid w:val="004D58DC"/>
    <w:rsid w:val="004D65A1"/>
    <w:rsid w:val="004E0211"/>
    <w:rsid w:val="004E038B"/>
    <w:rsid w:val="004E0644"/>
    <w:rsid w:val="004E1B61"/>
    <w:rsid w:val="004E2CD0"/>
    <w:rsid w:val="004E329A"/>
    <w:rsid w:val="004E3672"/>
    <w:rsid w:val="004E38D8"/>
    <w:rsid w:val="004E3E51"/>
    <w:rsid w:val="004E44E9"/>
    <w:rsid w:val="004E59BA"/>
    <w:rsid w:val="004E5B66"/>
    <w:rsid w:val="004E74A5"/>
    <w:rsid w:val="004E7ED5"/>
    <w:rsid w:val="004F13CC"/>
    <w:rsid w:val="004F219A"/>
    <w:rsid w:val="004F22F1"/>
    <w:rsid w:val="004F273A"/>
    <w:rsid w:val="004F4370"/>
    <w:rsid w:val="004F4E19"/>
    <w:rsid w:val="004F5BD2"/>
    <w:rsid w:val="004F5ED1"/>
    <w:rsid w:val="004F6C00"/>
    <w:rsid w:val="004F710D"/>
    <w:rsid w:val="004F7BB1"/>
    <w:rsid w:val="004F7F3F"/>
    <w:rsid w:val="0050250A"/>
    <w:rsid w:val="005030B1"/>
    <w:rsid w:val="00504BF3"/>
    <w:rsid w:val="0050751B"/>
    <w:rsid w:val="005106AC"/>
    <w:rsid w:val="0051184C"/>
    <w:rsid w:val="00511C73"/>
    <w:rsid w:val="00512C5B"/>
    <w:rsid w:val="00513B7D"/>
    <w:rsid w:val="00514052"/>
    <w:rsid w:val="00520EB9"/>
    <w:rsid w:val="005224F4"/>
    <w:rsid w:val="00522EC0"/>
    <w:rsid w:val="005244BE"/>
    <w:rsid w:val="0052463F"/>
    <w:rsid w:val="00526A03"/>
    <w:rsid w:val="0052777E"/>
    <w:rsid w:val="005304E1"/>
    <w:rsid w:val="005308E5"/>
    <w:rsid w:val="005311B5"/>
    <w:rsid w:val="00531C15"/>
    <w:rsid w:val="00535413"/>
    <w:rsid w:val="00535F5E"/>
    <w:rsid w:val="00536D0A"/>
    <w:rsid w:val="00540A73"/>
    <w:rsid w:val="00540C76"/>
    <w:rsid w:val="00540E51"/>
    <w:rsid w:val="00541553"/>
    <w:rsid w:val="0054160B"/>
    <w:rsid w:val="00541759"/>
    <w:rsid w:val="005430C1"/>
    <w:rsid w:val="00543155"/>
    <w:rsid w:val="005438A4"/>
    <w:rsid w:val="00543C1B"/>
    <w:rsid w:val="00545204"/>
    <w:rsid w:val="0054731A"/>
    <w:rsid w:val="00551426"/>
    <w:rsid w:val="00553D4C"/>
    <w:rsid w:val="00553E9E"/>
    <w:rsid w:val="0055464F"/>
    <w:rsid w:val="005549E3"/>
    <w:rsid w:val="00556952"/>
    <w:rsid w:val="00556FDB"/>
    <w:rsid w:val="00557296"/>
    <w:rsid w:val="00557738"/>
    <w:rsid w:val="00557A53"/>
    <w:rsid w:val="00560AB1"/>
    <w:rsid w:val="00561A2A"/>
    <w:rsid w:val="00561FBF"/>
    <w:rsid w:val="005659FE"/>
    <w:rsid w:val="00565AAE"/>
    <w:rsid w:val="00566CFC"/>
    <w:rsid w:val="00566DF1"/>
    <w:rsid w:val="00566F20"/>
    <w:rsid w:val="0057047A"/>
    <w:rsid w:val="00570B1A"/>
    <w:rsid w:val="00572633"/>
    <w:rsid w:val="0057376F"/>
    <w:rsid w:val="00574714"/>
    <w:rsid w:val="005753E6"/>
    <w:rsid w:val="00575430"/>
    <w:rsid w:val="005774CD"/>
    <w:rsid w:val="00577F2C"/>
    <w:rsid w:val="00580EA7"/>
    <w:rsid w:val="00581F9E"/>
    <w:rsid w:val="005824AC"/>
    <w:rsid w:val="00582657"/>
    <w:rsid w:val="00584B94"/>
    <w:rsid w:val="00585668"/>
    <w:rsid w:val="00585B2B"/>
    <w:rsid w:val="00586E28"/>
    <w:rsid w:val="00586F42"/>
    <w:rsid w:val="005873F3"/>
    <w:rsid w:val="00587557"/>
    <w:rsid w:val="005902FE"/>
    <w:rsid w:val="00592372"/>
    <w:rsid w:val="0059365B"/>
    <w:rsid w:val="005958AC"/>
    <w:rsid w:val="00595B79"/>
    <w:rsid w:val="00595CDA"/>
    <w:rsid w:val="00596577"/>
    <w:rsid w:val="00596E64"/>
    <w:rsid w:val="00596F91"/>
    <w:rsid w:val="0059790A"/>
    <w:rsid w:val="005A0406"/>
    <w:rsid w:val="005A0B0D"/>
    <w:rsid w:val="005A0BEC"/>
    <w:rsid w:val="005A0D9F"/>
    <w:rsid w:val="005A3538"/>
    <w:rsid w:val="005A3750"/>
    <w:rsid w:val="005A39C8"/>
    <w:rsid w:val="005A39F9"/>
    <w:rsid w:val="005A3B92"/>
    <w:rsid w:val="005A3E09"/>
    <w:rsid w:val="005A4C51"/>
    <w:rsid w:val="005A53FD"/>
    <w:rsid w:val="005A5696"/>
    <w:rsid w:val="005A5F1A"/>
    <w:rsid w:val="005A6424"/>
    <w:rsid w:val="005A72CD"/>
    <w:rsid w:val="005B0690"/>
    <w:rsid w:val="005B1255"/>
    <w:rsid w:val="005B12DD"/>
    <w:rsid w:val="005B1A67"/>
    <w:rsid w:val="005B1DBF"/>
    <w:rsid w:val="005B1F17"/>
    <w:rsid w:val="005B2DF5"/>
    <w:rsid w:val="005B4782"/>
    <w:rsid w:val="005B5380"/>
    <w:rsid w:val="005B539B"/>
    <w:rsid w:val="005C0D2E"/>
    <w:rsid w:val="005C17EB"/>
    <w:rsid w:val="005C22E0"/>
    <w:rsid w:val="005C26DE"/>
    <w:rsid w:val="005C32DF"/>
    <w:rsid w:val="005C36A4"/>
    <w:rsid w:val="005C39CC"/>
    <w:rsid w:val="005C4CFF"/>
    <w:rsid w:val="005C5410"/>
    <w:rsid w:val="005C6009"/>
    <w:rsid w:val="005C641F"/>
    <w:rsid w:val="005C719C"/>
    <w:rsid w:val="005C7D37"/>
    <w:rsid w:val="005D0C8F"/>
    <w:rsid w:val="005D1A17"/>
    <w:rsid w:val="005D1B62"/>
    <w:rsid w:val="005D27A0"/>
    <w:rsid w:val="005D488A"/>
    <w:rsid w:val="005D4D24"/>
    <w:rsid w:val="005D4DCD"/>
    <w:rsid w:val="005D5580"/>
    <w:rsid w:val="005D5F9B"/>
    <w:rsid w:val="005D65B8"/>
    <w:rsid w:val="005D7136"/>
    <w:rsid w:val="005D731F"/>
    <w:rsid w:val="005D73C3"/>
    <w:rsid w:val="005D7AA6"/>
    <w:rsid w:val="005E0AAE"/>
    <w:rsid w:val="005E110F"/>
    <w:rsid w:val="005E11E0"/>
    <w:rsid w:val="005E13E2"/>
    <w:rsid w:val="005E1FA9"/>
    <w:rsid w:val="005E1FED"/>
    <w:rsid w:val="005E28F7"/>
    <w:rsid w:val="005E2BC6"/>
    <w:rsid w:val="005E4428"/>
    <w:rsid w:val="005E45EB"/>
    <w:rsid w:val="005E5252"/>
    <w:rsid w:val="005E543E"/>
    <w:rsid w:val="005E5ED4"/>
    <w:rsid w:val="005E5ED8"/>
    <w:rsid w:val="005E634C"/>
    <w:rsid w:val="005E6DD7"/>
    <w:rsid w:val="005E71AA"/>
    <w:rsid w:val="005E7A7A"/>
    <w:rsid w:val="005F0510"/>
    <w:rsid w:val="005F32F1"/>
    <w:rsid w:val="005F47A7"/>
    <w:rsid w:val="005F4E7E"/>
    <w:rsid w:val="005F4F86"/>
    <w:rsid w:val="005F57C6"/>
    <w:rsid w:val="005F595A"/>
    <w:rsid w:val="005F6069"/>
    <w:rsid w:val="005F6B0D"/>
    <w:rsid w:val="005F6EB6"/>
    <w:rsid w:val="005F738E"/>
    <w:rsid w:val="005F7549"/>
    <w:rsid w:val="0060035C"/>
    <w:rsid w:val="00600E3D"/>
    <w:rsid w:val="00601049"/>
    <w:rsid w:val="006014B9"/>
    <w:rsid w:val="00601659"/>
    <w:rsid w:val="006026D7"/>
    <w:rsid w:val="0060595A"/>
    <w:rsid w:val="006073C8"/>
    <w:rsid w:val="00607A81"/>
    <w:rsid w:val="00607C05"/>
    <w:rsid w:val="00611CFD"/>
    <w:rsid w:val="00612198"/>
    <w:rsid w:val="00612D6B"/>
    <w:rsid w:val="00612E55"/>
    <w:rsid w:val="006134AD"/>
    <w:rsid w:val="00613B92"/>
    <w:rsid w:val="00614854"/>
    <w:rsid w:val="00614B54"/>
    <w:rsid w:val="00615113"/>
    <w:rsid w:val="0061646C"/>
    <w:rsid w:val="0062194F"/>
    <w:rsid w:val="00622F68"/>
    <w:rsid w:val="00623B28"/>
    <w:rsid w:val="00624710"/>
    <w:rsid w:val="00625689"/>
    <w:rsid w:val="00627138"/>
    <w:rsid w:val="006274D2"/>
    <w:rsid w:val="0062783D"/>
    <w:rsid w:val="00627955"/>
    <w:rsid w:val="00627B30"/>
    <w:rsid w:val="00631C0E"/>
    <w:rsid w:val="00631F36"/>
    <w:rsid w:val="00632E52"/>
    <w:rsid w:val="0063306F"/>
    <w:rsid w:val="006332AF"/>
    <w:rsid w:val="00633F9A"/>
    <w:rsid w:val="00634328"/>
    <w:rsid w:val="00635520"/>
    <w:rsid w:val="00635EDB"/>
    <w:rsid w:val="006370A1"/>
    <w:rsid w:val="006377DD"/>
    <w:rsid w:val="006407B0"/>
    <w:rsid w:val="00641B89"/>
    <w:rsid w:val="00641ECC"/>
    <w:rsid w:val="006440ED"/>
    <w:rsid w:val="006455BC"/>
    <w:rsid w:val="006456D1"/>
    <w:rsid w:val="0064637F"/>
    <w:rsid w:val="00647337"/>
    <w:rsid w:val="0064785E"/>
    <w:rsid w:val="006479C4"/>
    <w:rsid w:val="006517CE"/>
    <w:rsid w:val="006529B5"/>
    <w:rsid w:val="00652BAE"/>
    <w:rsid w:val="00653418"/>
    <w:rsid w:val="00654193"/>
    <w:rsid w:val="00655426"/>
    <w:rsid w:val="0065547D"/>
    <w:rsid w:val="00655A4A"/>
    <w:rsid w:val="00660DF7"/>
    <w:rsid w:val="00660FF3"/>
    <w:rsid w:val="00661078"/>
    <w:rsid w:val="00661098"/>
    <w:rsid w:val="006614FF"/>
    <w:rsid w:val="006632BF"/>
    <w:rsid w:val="00663CCB"/>
    <w:rsid w:val="006646D0"/>
    <w:rsid w:val="006652D2"/>
    <w:rsid w:val="006652F6"/>
    <w:rsid w:val="006657B8"/>
    <w:rsid w:val="00667FBD"/>
    <w:rsid w:val="00670344"/>
    <w:rsid w:val="006703A1"/>
    <w:rsid w:val="00671AD8"/>
    <w:rsid w:val="00672763"/>
    <w:rsid w:val="00672D6E"/>
    <w:rsid w:val="006732BD"/>
    <w:rsid w:val="006736C9"/>
    <w:rsid w:val="006736E1"/>
    <w:rsid w:val="00673AE6"/>
    <w:rsid w:val="00673F59"/>
    <w:rsid w:val="0067425B"/>
    <w:rsid w:val="00674384"/>
    <w:rsid w:val="00677B36"/>
    <w:rsid w:val="006808D1"/>
    <w:rsid w:val="0068094A"/>
    <w:rsid w:val="00682B25"/>
    <w:rsid w:val="00682C7B"/>
    <w:rsid w:val="00682EF8"/>
    <w:rsid w:val="006833D5"/>
    <w:rsid w:val="006844A8"/>
    <w:rsid w:val="006851DA"/>
    <w:rsid w:val="00687538"/>
    <w:rsid w:val="006878B8"/>
    <w:rsid w:val="00690AD7"/>
    <w:rsid w:val="006916B7"/>
    <w:rsid w:val="00691788"/>
    <w:rsid w:val="00691AB6"/>
    <w:rsid w:val="006923AF"/>
    <w:rsid w:val="00692BDB"/>
    <w:rsid w:val="00693893"/>
    <w:rsid w:val="00694213"/>
    <w:rsid w:val="0069499E"/>
    <w:rsid w:val="00694C36"/>
    <w:rsid w:val="006951F9"/>
    <w:rsid w:val="00695358"/>
    <w:rsid w:val="00695B13"/>
    <w:rsid w:val="00697AE4"/>
    <w:rsid w:val="00697C8D"/>
    <w:rsid w:val="00697EA3"/>
    <w:rsid w:val="006A16CF"/>
    <w:rsid w:val="006A1FBC"/>
    <w:rsid w:val="006A2738"/>
    <w:rsid w:val="006A45DF"/>
    <w:rsid w:val="006A472B"/>
    <w:rsid w:val="006A4B60"/>
    <w:rsid w:val="006A5279"/>
    <w:rsid w:val="006A529C"/>
    <w:rsid w:val="006A535A"/>
    <w:rsid w:val="006A60B5"/>
    <w:rsid w:val="006A666F"/>
    <w:rsid w:val="006A7111"/>
    <w:rsid w:val="006A77E0"/>
    <w:rsid w:val="006B0FA0"/>
    <w:rsid w:val="006B1891"/>
    <w:rsid w:val="006B3D9B"/>
    <w:rsid w:val="006B417C"/>
    <w:rsid w:val="006B4B33"/>
    <w:rsid w:val="006B63B3"/>
    <w:rsid w:val="006B67EB"/>
    <w:rsid w:val="006B6F2A"/>
    <w:rsid w:val="006B6F89"/>
    <w:rsid w:val="006B6FE4"/>
    <w:rsid w:val="006B7FB7"/>
    <w:rsid w:val="006C1BB9"/>
    <w:rsid w:val="006C1C4F"/>
    <w:rsid w:val="006C1CB2"/>
    <w:rsid w:val="006C2E08"/>
    <w:rsid w:val="006C5EF6"/>
    <w:rsid w:val="006C65B5"/>
    <w:rsid w:val="006C6882"/>
    <w:rsid w:val="006C6A45"/>
    <w:rsid w:val="006D0DA5"/>
    <w:rsid w:val="006D1412"/>
    <w:rsid w:val="006D158E"/>
    <w:rsid w:val="006D19B5"/>
    <w:rsid w:val="006D31FD"/>
    <w:rsid w:val="006D3B2F"/>
    <w:rsid w:val="006D4817"/>
    <w:rsid w:val="006D512A"/>
    <w:rsid w:val="006D592B"/>
    <w:rsid w:val="006D59A6"/>
    <w:rsid w:val="006D5EE0"/>
    <w:rsid w:val="006D6898"/>
    <w:rsid w:val="006D6EB2"/>
    <w:rsid w:val="006D73F3"/>
    <w:rsid w:val="006E028D"/>
    <w:rsid w:val="006E124C"/>
    <w:rsid w:val="006E2B77"/>
    <w:rsid w:val="006E2C75"/>
    <w:rsid w:val="006E3171"/>
    <w:rsid w:val="006E39BE"/>
    <w:rsid w:val="006E4B6A"/>
    <w:rsid w:val="006E4EC4"/>
    <w:rsid w:val="006E5A19"/>
    <w:rsid w:val="006E6FDF"/>
    <w:rsid w:val="006F0235"/>
    <w:rsid w:val="006F0823"/>
    <w:rsid w:val="006F0DBA"/>
    <w:rsid w:val="006F1536"/>
    <w:rsid w:val="006F23F2"/>
    <w:rsid w:val="006F2948"/>
    <w:rsid w:val="006F2C2E"/>
    <w:rsid w:val="006F334A"/>
    <w:rsid w:val="006F3547"/>
    <w:rsid w:val="006F3A13"/>
    <w:rsid w:val="006F4828"/>
    <w:rsid w:val="006F618E"/>
    <w:rsid w:val="006F61EA"/>
    <w:rsid w:val="006F6599"/>
    <w:rsid w:val="006F66F2"/>
    <w:rsid w:val="006F7F1D"/>
    <w:rsid w:val="00700145"/>
    <w:rsid w:val="00700E7E"/>
    <w:rsid w:val="00701B06"/>
    <w:rsid w:val="00702930"/>
    <w:rsid w:val="00705242"/>
    <w:rsid w:val="007060EA"/>
    <w:rsid w:val="007064A1"/>
    <w:rsid w:val="0070654C"/>
    <w:rsid w:val="00707448"/>
    <w:rsid w:val="0071192A"/>
    <w:rsid w:val="00712B7C"/>
    <w:rsid w:val="00713492"/>
    <w:rsid w:val="00714161"/>
    <w:rsid w:val="0071425F"/>
    <w:rsid w:val="007142BB"/>
    <w:rsid w:val="00714AB9"/>
    <w:rsid w:val="00714E06"/>
    <w:rsid w:val="007164DF"/>
    <w:rsid w:val="0071675A"/>
    <w:rsid w:val="00716D37"/>
    <w:rsid w:val="00716E5A"/>
    <w:rsid w:val="007176AA"/>
    <w:rsid w:val="007200BA"/>
    <w:rsid w:val="0072036E"/>
    <w:rsid w:val="00721147"/>
    <w:rsid w:val="007220E2"/>
    <w:rsid w:val="007222D4"/>
    <w:rsid w:val="00722EA1"/>
    <w:rsid w:val="00723388"/>
    <w:rsid w:val="00724405"/>
    <w:rsid w:val="007245DB"/>
    <w:rsid w:val="00725850"/>
    <w:rsid w:val="007258B9"/>
    <w:rsid w:val="0072694C"/>
    <w:rsid w:val="00726A4B"/>
    <w:rsid w:val="00726DCA"/>
    <w:rsid w:val="00730897"/>
    <w:rsid w:val="00730CDF"/>
    <w:rsid w:val="00731B99"/>
    <w:rsid w:val="0073369B"/>
    <w:rsid w:val="00735856"/>
    <w:rsid w:val="0073673C"/>
    <w:rsid w:val="00736E56"/>
    <w:rsid w:val="007372CA"/>
    <w:rsid w:val="00737A4B"/>
    <w:rsid w:val="00741C2B"/>
    <w:rsid w:val="00741C6D"/>
    <w:rsid w:val="00742943"/>
    <w:rsid w:val="00743B39"/>
    <w:rsid w:val="00745A1E"/>
    <w:rsid w:val="007472C6"/>
    <w:rsid w:val="00747CD9"/>
    <w:rsid w:val="007503F3"/>
    <w:rsid w:val="00752871"/>
    <w:rsid w:val="00752A3E"/>
    <w:rsid w:val="00753852"/>
    <w:rsid w:val="00755D9E"/>
    <w:rsid w:val="00756369"/>
    <w:rsid w:val="00757164"/>
    <w:rsid w:val="00757964"/>
    <w:rsid w:val="007579D8"/>
    <w:rsid w:val="00760FEF"/>
    <w:rsid w:val="007615A8"/>
    <w:rsid w:val="0076252F"/>
    <w:rsid w:val="007638E3"/>
    <w:rsid w:val="00763C26"/>
    <w:rsid w:val="00763EC2"/>
    <w:rsid w:val="00764DF3"/>
    <w:rsid w:val="00765009"/>
    <w:rsid w:val="007655D2"/>
    <w:rsid w:val="007658B9"/>
    <w:rsid w:val="00767974"/>
    <w:rsid w:val="007733D9"/>
    <w:rsid w:val="00773E0C"/>
    <w:rsid w:val="00775489"/>
    <w:rsid w:val="00775BFE"/>
    <w:rsid w:val="007770C9"/>
    <w:rsid w:val="00777E3F"/>
    <w:rsid w:val="00780024"/>
    <w:rsid w:val="00780CCD"/>
    <w:rsid w:val="00780D82"/>
    <w:rsid w:val="00780F16"/>
    <w:rsid w:val="007823DB"/>
    <w:rsid w:val="007838E4"/>
    <w:rsid w:val="007839E4"/>
    <w:rsid w:val="00783D71"/>
    <w:rsid w:val="007846D2"/>
    <w:rsid w:val="00785076"/>
    <w:rsid w:val="0078534E"/>
    <w:rsid w:val="00787139"/>
    <w:rsid w:val="0078744C"/>
    <w:rsid w:val="00791CB2"/>
    <w:rsid w:val="00791D9A"/>
    <w:rsid w:val="007923D6"/>
    <w:rsid w:val="00792D65"/>
    <w:rsid w:val="00793ACC"/>
    <w:rsid w:val="00793E39"/>
    <w:rsid w:val="00794CEC"/>
    <w:rsid w:val="007956AB"/>
    <w:rsid w:val="00795E34"/>
    <w:rsid w:val="00796A51"/>
    <w:rsid w:val="00796F0C"/>
    <w:rsid w:val="007978FA"/>
    <w:rsid w:val="007A0624"/>
    <w:rsid w:val="007A0A31"/>
    <w:rsid w:val="007A0C7F"/>
    <w:rsid w:val="007A2A58"/>
    <w:rsid w:val="007A2BFA"/>
    <w:rsid w:val="007A30A0"/>
    <w:rsid w:val="007A3B65"/>
    <w:rsid w:val="007A3C96"/>
    <w:rsid w:val="007A3DBB"/>
    <w:rsid w:val="007A6892"/>
    <w:rsid w:val="007A7414"/>
    <w:rsid w:val="007A7461"/>
    <w:rsid w:val="007B0646"/>
    <w:rsid w:val="007B116B"/>
    <w:rsid w:val="007B1F9D"/>
    <w:rsid w:val="007B23A4"/>
    <w:rsid w:val="007B33FD"/>
    <w:rsid w:val="007B35B8"/>
    <w:rsid w:val="007B390A"/>
    <w:rsid w:val="007B3B9D"/>
    <w:rsid w:val="007B3DCD"/>
    <w:rsid w:val="007B4260"/>
    <w:rsid w:val="007B4755"/>
    <w:rsid w:val="007B4E97"/>
    <w:rsid w:val="007B53D3"/>
    <w:rsid w:val="007B54DB"/>
    <w:rsid w:val="007B738A"/>
    <w:rsid w:val="007B7575"/>
    <w:rsid w:val="007C0710"/>
    <w:rsid w:val="007C1967"/>
    <w:rsid w:val="007C1F63"/>
    <w:rsid w:val="007C1F87"/>
    <w:rsid w:val="007C3A82"/>
    <w:rsid w:val="007C40B3"/>
    <w:rsid w:val="007C4965"/>
    <w:rsid w:val="007C5F8E"/>
    <w:rsid w:val="007C6307"/>
    <w:rsid w:val="007C6BAC"/>
    <w:rsid w:val="007C77AE"/>
    <w:rsid w:val="007C7FD2"/>
    <w:rsid w:val="007D116B"/>
    <w:rsid w:val="007D1392"/>
    <w:rsid w:val="007D30D1"/>
    <w:rsid w:val="007D3753"/>
    <w:rsid w:val="007D39BD"/>
    <w:rsid w:val="007D3AFA"/>
    <w:rsid w:val="007D47C9"/>
    <w:rsid w:val="007D4853"/>
    <w:rsid w:val="007D5126"/>
    <w:rsid w:val="007D60EC"/>
    <w:rsid w:val="007D643D"/>
    <w:rsid w:val="007D70F0"/>
    <w:rsid w:val="007D7CFB"/>
    <w:rsid w:val="007E00F4"/>
    <w:rsid w:val="007E06CF"/>
    <w:rsid w:val="007E31D2"/>
    <w:rsid w:val="007E3302"/>
    <w:rsid w:val="007E3F09"/>
    <w:rsid w:val="007E43E5"/>
    <w:rsid w:val="007E460C"/>
    <w:rsid w:val="007E460F"/>
    <w:rsid w:val="007E6FFC"/>
    <w:rsid w:val="007E7EF8"/>
    <w:rsid w:val="007F028E"/>
    <w:rsid w:val="007F0F3E"/>
    <w:rsid w:val="007F2DB3"/>
    <w:rsid w:val="007F320F"/>
    <w:rsid w:val="007F3A44"/>
    <w:rsid w:val="007F444C"/>
    <w:rsid w:val="007F5079"/>
    <w:rsid w:val="007F6049"/>
    <w:rsid w:val="007F7092"/>
    <w:rsid w:val="007F72D3"/>
    <w:rsid w:val="007F7E91"/>
    <w:rsid w:val="00801336"/>
    <w:rsid w:val="00801A59"/>
    <w:rsid w:val="00801BFB"/>
    <w:rsid w:val="00801DEF"/>
    <w:rsid w:val="00803C56"/>
    <w:rsid w:val="00804DB1"/>
    <w:rsid w:val="008060D6"/>
    <w:rsid w:val="00806A4A"/>
    <w:rsid w:val="0080755E"/>
    <w:rsid w:val="00807E30"/>
    <w:rsid w:val="00810D6D"/>
    <w:rsid w:val="00811288"/>
    <w:rsid w:val="0081380C"/>
    <w:rsid w:val="00815707"/>
    <w:rsid w:val="0081695D"/>
    <w:rsid w:val="008201E9"/>
    <w:rsid w:val="008202BC"/>
    <w:rsid w:val="00820A3F"/>
    <w:rsid w:val="00820BD7"/>
    <w:rsid w:val="008216E7"/>
    <w:rsid w:val="008233D8"/>
    <w:rsid w:val="00823629"/>
    <w:rsid w:val="00823735"/>
    <w:rsid w:val="00823C0A"/>
    <w:rsid w:val="0082536B"/>
    <w:rsid w:val="00825435"/>
    <w:rsid w:val="00826DBA"/>
    <w:rsid w:val="008273AB"/>
    <w:rsid w:val="00830797"/>
    <w:rsid w:val="00832FFD"/>
    <w:rsid w:val="00833832"/>
    <w:rsid w:val="008339FF"/>
    <w:rsid w:val="0083414A"/>
    <w:rsid w:val="00834CAB"/>
    <w:rsid w:val="008364E4"/>
    <w:rsid w:val="008376E4"/>
    <w:rsid w:val="00837966"/>
    <w:rsid w:val="00837D9D"/>
    <w:rsid w:val="0084078A"/>
    <w:rsid w:val="008415EE"/>
    <w:rsid w:val="0084272E"/>
    <w:rsid w:val="00844E4C"/>
    <w:rsid w:val="00846B2D"/>
    <w:rsid w:val="00850A14"/>
    <w:rsid w:val="00851F67"/>
    <w:rsid w:val="0085395A"/>
    <w:rsid w:val="008612E5"/>
    <w:rsid w:val="008617C0"/>
    <w:rsid w:val="00861EC0"/>
    <w:rsid w:val="008627B2"/>
    <w:rsid w:val="0086294F"/>
    <w:rsid w:val="00863204"/>
    <w:rsid w:val="008648DF"/>
    <w:rsid w:val="00865334"/>
    <w:rsid w:val="0086555F"/>
    <w:rsid w:val="00865CC2"/>
    <w:rsid w:val="00867098"/>
    <w:rsid w:val="00867B63"/>
    <w:rsid w:val="008704C6"/>
    <w:rsid w:val="008705D1"/>
    <w:rsid w:val="008708CD"/>
    <w:rsid w:val="008714C0"/>
    <w:rsid w:val="008716CA"/>
    <w:rsid w:val="00872BDE"/>
    <w:rsid w:val="00874108"/>
    <w:rsid w:val="00877204"/>
    <w:rsid w:val="00877478"/>
    <w:rsid w:val="00877C6C"/>
    <w:rsid w:val="008803A0"/>
    <w:rsid w:val="008809ED"/>
    <w:rsid w:val="00880DDE"/>
    <w:rsid w:val="0088121F"/>
    <w:rsid w:val="00881F15"/>
    <w:rsid w:val="00882321"/>
    <w:rsid w:val="00883591"/>
    <w:rsid w:val="008837AA"/>
    <w:rsid w:val="00885668"/>
    <w:rsid w:val="008856A9"/>
    <w:rsid w:val="00885C36"/>
    <w:rsid w:val="008861DD"/>
    <w:rsid w:val="00886E86"/>
    <w:rsid w:val="008905F5"/>
    <w:rsid w:val="008907D7"/>
    <w:rsid w:val="008912C0"/>
    <w:rsid w:val="00891CC0"/>
    <w:rsid w:val="008922D0"/>
    <w:rsid w:val="0089246C"/>
    <w:rsid w:val="008940C9"/>
    <w:rsid w:val="0089479D"/>
    <w:rsid w:val="00894F90"/>
    <w:rsid w:val="0089676F"/>
    <w:rsid w:val="008A10B1"/>
    <w:rsid w:val="008A1EEA"/>
    <w:rsid w:val="008A2BF8"/>
    <w:rsid w:val="008A32EC"/>
    <w:rsid w:val="008A3851"/>
    <w:rsid w:val="008A4DAB"/>
    <w:rsid w:val="008A6BC3"/>
    <w:rsid w:val="008A6ED3"/>
    <w:rsid w:val="008B0851"/>
    <w:rsid w:val="008B18A5"/>
    <w:rsid w:val="008B3C19"/>
    <w:rsid w:val="008B467F"/>
    <w:rsid w:val="008B4794"/>
    <w:rsid w:val="008B4C50"/>
    <w:rsid w:val="008B4F0F"/>
    <w:rsid w:val="008B5C63"/>
    <w:rsid w:val="008B6BB9"/>
    <w:rsid w:val="008B70CF"/>
    <w:rsid w:val="008B786C"/>
    <w:rsid w:val="008B7AFC"/>
    <w:rsid w:val="008C09ED"/>
    <w:rsid w:val="008C261A"/>
    <w:rsid w:val="008C2911"/>
    <w:rsid w:val="008C2936"/>
    <w:rsid w:val="008C3C56"/>
    <w:rsid w:val="008C4ABE"/>
    <w:rsid w:val="008C5155"/>
    <w:rsid w:val="008C5F9C"/>
    <w:rsid w:val="008C7102"/>
    <w:rsid w:val="008C71D7"/>
    <w:rsid w:val="008C7BA3"/>
    <w:rsid w:val="008C7D37"/>
    <w:rsid w:val="008D0B28"/>
    <w:rsid w:val="008D1798"/>
    <w:rsid w:val="008D2305"/>
    <w:rsid w:val="008D293A"/>
    <w:rsid w:val="008D31A7"/>
    <w:rsid w:val="008D3BD5"/>
    <w:rsid w:val="008D50BE"/>
    <w:rsid w:val="008D5793"/>
    <w:rsid w:val="008D5C3C"/>
    <w:rsid w:val="008D6813"/>
    <w:rsid w:val="008D6829"/>
    <w:rsid w:val="008D7123"/>
    <w:rsid w:val="008D7174"/>
    <w:rsid w:val="008D7447"/>
    <w:rsid w:val="008D78EC"/>
    <w:rsid w:val="008E0238"/>
    <w:rsid w:val="008E039B"/>
    <w:rsid w:val="008E091B"/>
    <w:rsid w:val="008E19BE"/>
    <w:rsid w:val="008E1B3C"/>
    <w:rsid w:val="008E2504"/>
    <w:rsid w:val="008E377A"/>
    <w:rsid w:val="008E4142"/>
    <w:rsid w:val="008E561B"/>
    <w:rsid w:val="008E5CAC"/>
    <w:rsid w:val="008E6D4A"/>
    <w:rsid w:val="008E7CA5"/>
    <w:rsid w:val="008F03CC"/>
    <w:rsid w:val="008F290F"/>
    <w:rsid w:val="008F2E71"/>
    <w:rsid w:val="008F2FDB"/>
    <w:rsid w:val="008F44B1"/>
    <w:rsid w:val="008F4C8A"/>
    <w:rsid w:val="008F5B56"/>
    <w:rsid w:val="008F6042"/>
    <w:rsid w:val="008F77DB"/>
    <w:rsid w:val="009004FA"/>
    <w:rsid w:val="00902406"/>
    <w:rsid w:val="0090251B"/>
    <w:rsid w:val="009025F5"/>
    <w:rsid w:val="00902F1E"/>
    <w:rsid w:val="00903883"/>
    <w:rsid w:val="009043F9"/>
    <w:rsid w:val="00905276"/>
    <w:rsid w:val="00906813"/>
    <w:rsid w:val="00906B87"/>
    <w:rsid w:val="00907516"/>
    <w:rsid w:val="00907CDC"/>
    <w:rsid w:val="009109C6"/>
    <w:rsid w:val="00911046"/>
    <w:rsid w:val="00911DAF"/>
    <w:rsid w:val="009125C7"/>
    <w:rsid w:val="00912721"/>
    <w:rsid w:val="00912B94"/>
    <w:rsid w:val="009152C7"/>
    <w:rsid w:val="00925268"/>
    <w:rsid w:val="00927A1E"/>
    <w:rsid w:val="00930581"/>
    <w:rsid w:val="009306CE"/>
    <w:rsid w:val="00931B82"/>
    <w:rsid w:val="00932352"/>
    <w:rsid w:val="0093449C"/>
    <w:rsid w:val="00935EC3"/>
    <w:rsid w:val="0093754C"/>
    <w:rsid w:val="00937D30"/>
    <w:rsid w:val="00937F81"/>
    <w:rsid w:val="0094152B"/>
    <w:rsid w:val="00942AB1"/>
    <w:rsid w:val="00945837"/>
    <w:rsid w:val="00945D22"/>
    <w:rsid w:val="009466BE"/>
    <w:rsid w:val="00950198"/>
    <w:rsid w:val="00950209"/>
    <w:rsid w:val="009512F8"/>
    <w:rsid w:val="009521DE"/>
    <w:rsid w:val="0095272D"/>
    <w:rsid w:val="00953EA1"/>
    <w:rsid w:val="009540A6"/>
    <w:rsid w:val="009544D1"/>
    <w:rsid w:val="0095536A"/>
    <w:rsid w:val="00955BD0"/>
    <w:rsid w:val="00956821"/>
    <w:rsid w:val="00957333"/>
    <w:rsid w:val="0095779E"/>
    <w:rsid w:val="00957F10"/>
    <w:rsid w:val="0096080D"/>
    <w:rsid w:val="00961944"/>
    <w:rsid w:val="009623AA"/>
    <w:rsid w:val="00962457"/>
    <w:rsid w:val="00962565"/>
    <w:rsid w:val="00962EFD"/>
    <w:rsid w:val="00963876"/>
    <w:rsid w:val="00963E7B"/>
    <w:rsid w:val="0096422D"/>
    <w:rsid w:val="0096477A"/>
    <w:rsid w:val="00964ECF"/>
    <w:rsid w:val="009658F6"/>
    <w:rsid w:val="00966F79"/>
    <w:rsid w:val="009674CF"/>
    <w:rsid w:val="00972550"/>
    <w:rsid w:val="00972FDA"/>
    <w:rsid w:val="00973EFA"/>
    <w:rsid w:val="0097452F"/>
    <w:rsid w:val="00974555"/>
    <w:rsid w:val="00974F43"/>
    <w:rsid w:val="00975108"/>
    <w:rsid w:val="00975666"/>
    <w:rsid w:val="00976678"/>
    <w:rsid w:val="00977114"/>
    <w:rsid w:val="009774FF"/>
    <w:rsid w:val="00977C82"/>
    <w:rsid w:val="0098131B"/>
    <w:rsid w:val="00981E99"/>
    <w:rsid w:val="0098338F"/>
    <w:rsid w:val="00983565"/>
    <w:rsid w:val="0098365D"/>
    <w:rsid w:val="00983B8B"/>
    <w:rsid w:val="00986526"/>
    <w:rsid w:val="00990114"/>
    <w:rsid w:val="009911EA"/>
    <w:rsid w:val="00994826"/>
    <w:rsid w:val="00995EF1"/>
    <w:rsid w:val="009960F8"/>
    <w:rsid w:val="009A0788"/>
    <w:rsid w:val="009A0F11"/>
    <w:rsid w:val="009A0F6E"/>
    <w:rsid w:val="009A22BF"/>
    <w:rsid w:val="009A33E9"/>
    <w:rsid w:val="009A4AD8"/>
    <w:rsid w:val="009A4EED"/>
    <w:rsid w:val="009A5A24"/>
    <w:rsid w:val="009A65D3"/>
    <w:rsid w:val="009A72FF"/>
    <w:rsid w:val="009A7927"/>
    <w:rsid w:val="009B0824"/>
    <w:rsid w:val="009B16A6"/>
    <w:rsid w:val="009B188B"/>
    <w:rsid w:val="009B2479"/>
    <w:rsid w:val="009B343C"/>
    <w:rsid w:val="009B44BF"/>
    <w:rsid w:val="009B5A09"/>
    <w:rsid w:val="009B5FFE"/>
    <w:rsid w:val="009B6528"/>
    <w:rsid w:val="009B78E3"/>
    <w:rsid w:val="009B7B21"/>
    <w:rsid w:val="009C0171"/>
    <w:rsid w:val="009C225A"/>
    <w:rsid w:val="009C2516"/>
    <w:rsid w:val="009C26B5"/>
    <w:rsid w:val="009C33E6"/>
    <w:rsid w:val="009C4B9A"/>
    <w:rsid w:val="009C5B84"/>
    <w:rsid w:val="009C6915"/>
    <w:rsid w:val="009C694E"/>
    <w:rsid w:val="009C70BE"/>
    <w:rsid w:val="009C7DFE"/>
    <w:rsid w:val="009C7F60"/>
    <w:rsid w:val="009D04F3"/>
    <w:rsid w:val="009D1394"/>
    <w:rsid w:val="009D1E40"/>
    <w:rsid w:val="009D2460"/>
    <w:rsid w:val="009D543C"/>
    <w:rsid w:val="009D5CE9"/>
    <w:rsid w:val="009D615B"/>
    <w:rsid w:val="009D6380"/>
    <w:rsid w:val="009D6FCD"/>
    <w:rsid w:val="009D7CF8"/>
    <w:rsid w:val="009E0B2F"/>
    <w:rsid w:val="009E176C"/>
    <w:rsid w:val="009E21EA"/>
    <w:rsid w:val="009E2327"/>
    <w:rsid w:val="009E276C"/>
    <w:rsid w:val="009E432B"/>
    <w:rsid w:val="009E63E5"/>
    <w:rsid w:val="009E6612"/>
    <w:rsid w:val="009E7393"/>
    <w:rsid w:val="009E7F3A"/>
    <w:rsid w:val="009F0022"/>
    <w:rsid w:val="009F1858"/>
    <w:rsid w:val="009F1927"/>
    <w:rsid w:val="009F1997"/>
    <w:rsid w:val="009F1EAE"/>
    <w:rsid w:val="009F212D"/>
    <w:rsid w:val="009F280E"/>
    <w:rsid w:val="009F2C77"/>
    <w:rsid w:val="009F31CC"/>
    <w:rsid w:val="009F4B38"/>
    <w:rsid w:val="009F5683"/>
    <w:rsid w:val="009F593A"/>
    <w:rsid w:val="009F787B"/>
    <w:rsid w:val="009F7DBF"/>
    <w:rsid w:val="00A00D8F"/>
    <w:rsid w:val="00A011AE"/>
    <w:rsid w:val="00A01A78"/>
    <w:rsid w:val="00A01C22"/>
    <w:rsid w:val="00A022AA"/>
    <w:rsid w:val="00A03CA6"/>
    <w:rsid w:val="00A06591"/>
    <w:rsid w:val="00A069A0"/>
    <w:rsid w:val="00A10A28"/>
    <w:rsid w:val="00A117A7"/>
    <w:rsid w:val="00A11C84"/>
    <w:rsid w:val="00A124D2"/>
    <w:rsid w:val="00A20B13"/>
    <w:rsid w:val="00A2130D"/>
    <w:rsid w:val="00A21612"/>
    <w:rsid w:val="00A21A11"/>
    <w:rsid w:val="00A21A21"/>
    <w:rsid w:val="00A21FCA"/>
    <w:rsid w:val="00A233CD"/>
    <w:rsid w:val="00A234CA"/>
    <w:rsid w:val="00A23D52"/>
    <w:rsid w:val="00A30DC0"/>
    <w:rsid w:val="00A319C8"/>
    <w:rsid w:val="00A3378E"/>
    <w:rsid w:val="00A337E9"/>
    <w:rsid w:val="00A33F52"/>
    <w:rsid w:val="00A357FF"/>
    <w:rsid w:val="00A37FC9"/>
    <w:rsid w:val="00A404AF"/>
    <w:rsid w:val="00A410A9"/>
    <w:rsid w:val="00A419F0"/>
    <w:rsid w:val="00A41B78"/>
    <w:rsid w:val="00A42A5C"/>
    <w:rsid w:val="00A42EFE"/>
    <w:rsid w:val="00A44631"/>
    <w:rsid w:val="00A4490A"/>
    <w:rsid w:val="00A4501D"/>
    <w:rsid w:val="00A458DA"/>
    <w:rsid w:val="00A459F1"/>
    <w:rsid w:val="00A467CA"/>
    <w:rsid w:val="00A470FA"/>
    <w:rsid w:val="00A475B2"/>
    <w:rsid w:val="00A47D7D"/>
    <w:rsid w:val="00A517F7"/>
    <w:rsid w:val="00A534E7"/>
    <w:rsid w:val="00A53BBC"/>
    <w:rsid w:val="00A540FE"/>
    <w:rsid w:val="00A554A2"/>
    <w:rsid w:val="00A55996"/>
    <w:rsid w:val="00A55B52"/>
    <w:rsid w:val="00A55E77"/>
    <w:rsid w:val="00A574CC"/>
    <w:rsid w:val="00A5799C"/>
    <w:rsid w:val="00A61B15"/>
    <w:rsid w:val="00A6453B"/>
    <w:rsid w:val="00A659CC"/>
    <w:rsid w:val="00A6677B"/>
    <w:rsid w:val="00A66A8C"/>
    <w:rsid w:val="00A675C7"/>
    <w:rsid w:val="00A70F71"/>
    <w:rsid w:val="00A715C6"/>
    <w:rsid w:val="00A71AC9"/>
    <w:rsid w:val="00A74376"/>
    <w:rsid w:val="00A746D1"/>
    <w:rsid w:val="00A74724"/>
    <w:rsid w:val="00A74AC6"/>
    <w:rsid w:val="00A76091"/>
    <w:rsid w:val="00A76381"/>
    <w:rsid w:val="00A766C8"/>
    <w:rsid w:val="00A777C0"/>
    <w:rsid w:val="00A77E3A"/>
    <w:rsid w:val="00A818EF"/>
    <w:rsid w:val="00A82319"/>
    <w:rsid w:val="00A82B93"/>
    <w:rsid w:val="00A82D42"/>
    <w:rsid w:val="00A82F4C"/>
    <w:rsid w:val="00A83EEA"/>
    <w:rsid w:val="00A84A67"/>
    <w:rsid w:val="00A85B2B"/>
    <w:rsid w:val="00A87141"/>
    <w:rsid w:val="00A87BFE"/>
    <w:rsid w:val="00A904F2"/>
    <w:rsid w:val="00A90AD8"/>
    <w:rsid w:val="00A91561"/>
    <w:rsid w:val="00A91D53"/>
    <w:rsid w:val="00A93F12"/>
    <w:rsid w:val="00A9444B"/>
    <w:rsid w:val="00A95AF2"/>
    <w:rsid w:val="00A965DE"/>
    <w:rsid w:val="00A969BB"/>
    <w:rsid w:val="00A96F4A"/>
    <w:rsid w:val="00A97580"/>
    <w:rsid w:val="00A9799E"/>
    <w:rsid w:val="00A97C8B"/>
    <w:rsid w:val="00AA084F"/>
    <w:rsid w:val="00AA1A78"/>
    <w:rsid w:val="00AA1D96"/>
    <w:rsid w:val="00AA2F3D"/>
    <w:rsid w:val="00AA477D"/>
    <w:rsid w:val="00AA5110"/>
    <w:rsid w:val="00AA5DC6"/>
    <w:rsid w:val="00AA7693"/>
    <w:rsid w:val="00AB05CA"/>
    <w:rsid w:val="00AB126F"/>
    <w:rsid w:val="00AB29EF"/>
    <w:rsid w:val="00AB2DFF"/>
    <w:rsid w:val="00AB471E"/>
    <w:rsid w:val="00AB5719"/>
    <w:rsid w:val="00AB5FDE"/>
    <w:rsid w:val="00AB6374"/>
    <w:rsid w:val="00AB7D60"/>
    <w:rsid w:val="00AC0269"/>
    <w:rsid w:val="00AC03D1"/>
    <w:rsid w:val="00AC20FE"/>
    <w:rsid w:val="00AC211F"/>
    <w:rsid w:val="00AC2152"/>
    <w:rsid w:val="00AC2369"/>
    <w:rsid w:val="00AC295A"/>
    <w:rsid w:val="00AC39B4"/>
    <w:rsid w:val="00AC489B"/>
    <w:rsid w:val="00AC527C"/>
    <w:rsid w:val="00AC56BA"/>
    <w:rsid w:val="00AC578E"/>
    <w:rsid w:val="00AC604E"/>
    <w:rsid w:val="00AC65F9"/>
    <w:rsid w:val="00AC6ACE"/>
    <w:rsid w:val="00AC7703"/>
    <w:rsid w:val="00AC7D83"/>
    <w:rsid w:val="00AD0961"/>
    <w:rsid w:val="00AD0988"/>
    <w:rsid w:val="00AD0B06"/>
    <w:rsid w:val="00AD0E40"/>
    <w:rsid w:val="00AD0F44"/>
    <w:rsid w:val="00AD1B79"/>
    <w:rsid w:val="00AD3A0B"/>
    <w:rsid w:val="00AD4A9E"/>
    <w:rsid w:val="00AD5A56"/>
    <w:rsid w:val="00AD621C"/>
    <w:rsid w:val="00AD6E04"/>
    <w:rsid w:val="00AE01D2"/>
    <w:rsid w:val="00AE1765"/>
    <w:rsid w:val="00AE5BB4"/>
    <w:rsid w:val="00AE6177"/>
    <w:rsid w:val="00AE7EAB"/>
    <w:rsid w:val="00AF2292"/>
    <w:rsid w:val="00AF24C1"/>
    <w:rsid w:val="00AF2987"/>
    <w:rsid w:val="00AF2AC5"/>
    <w:rsid w:val="00AF3701"/>
    <w:rsid w:val="00AF40B3"/>
    <w:rsid w:val="00AF65D5"/>
    <w:rsid w:val="00AF72E5"/>
    <w:rsid w:val="00AF7A0A"/>
    <w:rsid w:val="00B00485"/>
    <w:rsid w:val="00B00A24"/>
    <w:rsid w:val="00B0143A"/>
    <w:rsid w:val="00B01F4B"/>
    <w:rsid w:val="00B05163"/>
    <w:rsid w:val="00B055C9"/>
    <w:rsid w:val="00B05F5B"/>
    <w:rsid w:val="00B10113"/>
    <w:rsid w:val="00B1166F"/>
    <w:rsid w:val="00B12057"/>
    <w:rsid w:val="00B123E0"/>
    <w:rsid w:val="00B12AC5"/>
    <w:rsid w:val="00B13175"/>
    <w:rsid w:val="00B166CC"/>
    <w:rsid w:val="00B17D05"/>
    <w:rsid w:val="00B20152"/>
    <w:rsid w:val="00B21813"/>
    <w:rsid w:val="00B23D55"/>
    <w:rsid w:val="00B242D9"/>
    <w:rsid w:val="00B24B94"/>
    <w:rsid w:val="00B25B94"/>
    <w:rsid w:val="00B275E5"/>
    <w:rsid w:val="00B276B8"/>
    <w:rsid w:val="00B3047C"/>
    <w:rsid w:val="00B30D05"/>
    <w:rsid w:val="00B31C3E"/>
    <w:rsid w:val="00B31D52"/>
    <w:rsid w:val="00B321E3"/>
    <w:rsid w:val="00B32E5F"/>
    <w:rsid w:val="00B33939"/>
    <w:rsid w:val="00B33B56"/>
    <w:rsid w:val="00B3525B"/>
    <w:rsid w:val="00B35FD0"/>
    <w:rsid w:val="00B36BC3"/>
    <w:rsid w:val="00B37460"/>
    <w:rsid w:val="00B40C63"/>
    <w:rsid w:val="00B40F91"/>
    <w:rsid w:val="00B42CA8"/>
    <w:rsid w:val="00B434D4"/>
    <w:rsid w:val="00B46AF2"/>
    <w:rsid w:val="00B4734D"/>
    <w:rsid w:val="00B507D9"/>
    <w:rsid w:val="00B50ADE"/>
    <w:rsid w:val="00B512C6"/>
    <w:rsid w:val="00B515D7"/>
    <w:rsid w:val="00B53546"/>
    <w:rsid w:val="00B5389F"/>
    <w:rsid w:val="00B544F7"/>
    <w:rsid w:val="00B54D09"/>
    <w:rsid w:val="00B54D79"/>
    <w:rsid w:val="00B55423"/>
    <w:rsid w:val="00B55F5E"/>
    <w:rsid w:val="00B560E1"/>
    <w:rsid w:val="00B56469"/>
    <w:rsid w:val="00B56795"/>
    <w:rsid w:val="00B57362"/>
    <w:rsid w:val="00B61C8B"/>
    <w:rsid w:val="00B6243E"/>
    <w:rsid w:val="00B624A2"/>
    <w:rsid w:val="00B62EC3"/>
    <w:rsid w:val="00B63529"/>
    <w:rsid w:val="00B63662"/>
    <w:rsid w:val="00B64BCA"/>
    <w:rsid w:val="00B65095"/>
    <w:rsid w:val="00B65798"/>
    <w:rsid w:val="00B6686D"/>
    <w:rsid w:val="00B7005B"/>
    <w:rsid w:val="00B7058A"/>
    <w:rsid w:val="00B73130"/>
    <w:rsid w:val="00B752B6"/>
    <w:rsid w:val="00B757AB"/>
    <w:rsid w:val="00B75F21"/>
    <w:rsid w:val="00B76CA4"/>
    <w:rsid w:val="00B7748B"/>
    <w:rsid w:val="00B7759D"/>
    <w:rsid w:val="00B77C27"/>
    <w:rsid w:val="00B825B4"/>
    <w:rsid w:val="00B82D61"/>
    <w:rsid w:val="00B82E23"/>
    <w:rsid w:val="00B83CAE"/>
    <w:rsid w:val="00B8477E"/>
    <w:rsid w:val="00B84C2D"/>
    <w:rsid w:val="00B851E9"/>
    <w:rsid w:val="00B85351"/>
    <w:rsid w:val="00B855A3"/>
    <w:rsid w:val="00B85652"/>
    <w:rsid w:val="00B85673"/>
    <w:rsid w:val="00B8685C"/>
    <w:rsid w:val="00B86D88"/>
    <w:rsid w:val="00B877F1"/>
    <w:rsid w:val="00B903A5"/>
    <w:rsid w:val="00B910A2"/>
    <w:rsid w:val="00B928A1"/>
    <w:rsid w:val="00B93241"/>
    <w:rsid w:val="00B93912"/>
    <w:rsid w:val="00B94771"/>
    <w:rsid w:val="00B95469"/>
    <w:rsid w:val="00B96F85"/>
    <w:rsid w:val="00B975A7"/>
    <w:rsid w:val="00BA3549"/>
    <w:rsid w:val="00BA3E16"/>
    <w:rsid w:val="00BA5D10"/>
    <w:rsid w:val="00BA755F"/>
    <w:rsid w:val="00BA79D0"/>
    <w:rsid w:val="00BA7F6D"/>
    <w:rsid w:val="00BB1307"/>
    <w:rsid w:val="00BB175A"/>
    <w:rsid w:val="00BB1DD4"/>
    <w:rsid w:val="00BB2393"/>
    <w:rsid w:val="00BB3A0B"/>
    <w:rsid w:val="00BB4F64"/>
    <w:rsid w:val="00BB4F6B"/>
    <w:rsid w:val="00BB502A"/>
    <w:rsid w:val="00BB5060"/>
    <w:rsid w:val="00BB5159"/>
    <w:rsid w:val="00BB5451"/>
    <w:rsid w:val="00BB5E2D"/>
    <w:rsid w:val="00BB614C"/>
    <w:rsid w:val="00BB67F4"/>
    <w:rsid w:val="00BC1E2D"/>
    <w:rsid w:val="00BC3E5A"/>
    <w:rsid w:val="00BC3EF0"/>
    <w:rsid w:val="00BC4A94"/>
    <w:rsid w:val="00BC60E6"/>
    <w:rsid w:val="00BC66BB"/>
    <w:rsid w:val="00BC72E3"/>
    <w:rsid w:val="00BC7CA5"/>
    <w:rsid w:val="00BD04EF"/>
    <w:rsid w:val="00BD0564"/>
    <w:rsid w:val="00BD1028"/>
    <w:rsid w:val="00BD1937"/>
    <w:rsid w:val="00BD27C6"/>
    <w:rsid w:val="00BD29FB"/>
    <w:rsid w:val="00BD32FD"/>
    <w:rsid w:val="00BD41A7"/>
    <w:rsid w:val="00BD5222"/>
    <w:rsid w:val="00BD57C2"/>
    <w:rsid w:val="00BD5870"/>
    <w:rsid w:val="00BD5E15"/>
    <w:rsid w:val="00BD7326"/>
    <w:rsid w:val="00BD7F53"/>
    <w:rsid w:val="00BE144D"/>
    <w:rsid w:val="00BE16C2"/>
    <w:rsid w:val="00BE227F"/>
    <w:rsid w:val="00BE26D0"/>
    <w:rsid w:val="00BE2BF3"/>
    <w:rsid w:val="00BE2E5B"/>
    <w:rsid w:val="00BE380F"/>
    <w:rsid w:val="00BE387C"/>
    <w:rsid w:val="00BE3B32"/>
    <w:rsid w:val="00BE4511"/>
    <w:rsid w:val="00BE5D61"/>
    <w:rsid w:val="00BE6AF7"/>
    <w:rsid w:val="00BF0B46"/>
    <w:rsid w:val="00BF0DE0"/>
    <w:rsid w:val="00BF204E"/>
    <w:rsid w:val="00BF2B3E"/>
    <w:rsid w:val="00BF33B0"/>
    <w:rsid w:val="00BF3629"/>
    <w:rsid w:val="00BF64A7"/>
    <w:rsid w:val="00C00480"/>
    <w:rsid w:val="00C0063E"/>
    <w:rsid w:val="00C01616"/>
    <w:rsid w:val="00C02C2F"/>
    <w:rsid w:val="00C03580"/>
    <w:rsid w:val="00C03D77"/>
    <w:rsid w:val="00C03EE5"/>
    <w:rsid w:val="00C03FAD"/>
    <w:rsid w:val="00C05903"/>
    <w:rsid w:val="00C06AE0"/>
    <w:rsid w:val="00C06F8F"/>
    <w:rsid w:val="00C10180"/>
    <w:rsid w:val="00C10359"/>
    <w:rsid w:val="00C11CD5"/>
    <w:rsid w:val="00C13009"/>
    <w:rsid w:val="00C13D94"/>
    <w:rsid w:val="00C13F9E"/>
    <w:rsid w:val="00C146CC"/>
    <w:rsid w:val="00C14EE1"/>
    <w:rsid w:val="00C1525D"/>
    <w:rsid w:val="00C153BD"/>
    <w:rsid w:val="00C163A8"/>
    <w:rsid w:val="00C16509"/>
    <w:rsid w:val="00C169B0"/>
    <w:rsid w:val="00C16BB3"/>
    <w:rsid w:val="00C1799B"/>
    <w:rsid w:val="00C17D5B"/>
    <w:rsid w:val="00C20C13"/>
    <w:rsid w:val="00C2164F"/>
    <w:rsid w:val="00C21B76"/>
    <w:rsid w:val="00C225AB"/>
    <w:rsid w:val="00C229F7"/>
    <w:rsid w:val="00C23291"/>
    <w:rsid w:val="00C2349C"/>
    <w:rsid w:val="00C23B18"/>
    <w:rsid w:val="00C24FC2"/>
    <w:rsid w:val="00C25581"/>
    <w:rsid w:val="00C25C2A"/>
    <w:rsid w:val="00C26CC7"/>
    <w:rsid w:val="00C2745B"/>
    <w:rsid w:val="00C321D6"/>
    <w:rsid w:val="00C3385E"/>
    <w:rsid w:val="00C340EC"/>
    <w:rsid w:val="00C36DF7"/>
    <w:rsid w:val="00C37239"/>
    <w:rsid w:val="00C40389"/>
    <w:rsid w:val="00C41937"/>
    <w:rsid w:val="00C41D19"/>
    <w:rsid w:val="00C42193"/>
    <w:rsid w:val="00C43741"/>
    <w:rsid w:val="00C4377E"/>
    <w:rsid w:val="00C439D9"/>
    <w:rsid w:val="00C448F8"/>
    <w:rsid w:val="00C45F06"/>
    <w:rsid w:val="00C461B1"/>
    <w:rsid w:val="00C46D28"/>
    <w:rsid w:val="00C5003D"/>
    <w:rsid w:val="00C505DA"/>
    <w:rsid w:val="00C5079D"/>
    <w:rsid w:val="00C5100D"/>
    <w:rsid w:val="00C53801"/>
    <w:rsid w:val="00C53949"/>
    <w:rsid w:val="00C561A8"/>
    <w:rsid w:val="00C56EAB"/>
    <w:rsid w:val="00C57045"/>
    <w:rsid w:val="00C571FE"/>
    <w:rsid w:val="00C57216"/>
    <w:rsid w:val="00C5735C"/>
    <w:rsid w:val="00C60C68"/>
    <w:rsid w:val="00C621D0"/>
    <w:rsid w:val="00C6227F"/>
    <w:rsid w:val="00C6386A"/>
    <w:rsid w:val="00C639E3"/>
    <w:rsid w:val="00C63A1A"/>
    <w:rsid w:val="00C65032"/>
    <w:rsid w:val="00C65DCB"/>
    <w:rsid w:val="00C66889"/>
    <w:rsid w:val="00C70256"/>
    <w:rsid w:val="00C71138"/>
    <w:rsid w:val="00C724F9"/>
    <w:rsid w:val="00C72AE4"/>
    <w:rsid w:val="00C75CC6"/>
    <w:rsid w:val="00C771C4"/>
    <w:rsid w:val="00C80A87"/>
    <w:rsid w:val="00C83FB8"/>
    <w:rsid w:val="00C84418"/>
    <w:rsid w:val="00C84BE7"/>
    <w:rsid w:val="00C8687A"/>
    <w:rsid w:val="00C86F0B"/>
    <w:rsid w:val="00C87144"/>
    <w:rsid w:val="00C87DA2"/>
    <w:rsid w:val="00C87DD2"/>
    <w:rsid w:val="00C902DC"/>
    <w:rsid w:val="00C90ED6"/>
    <w:rsid w:val="00C92B1E"/>
    <w:rsid w:val="00C92DC7"/>
    <w:rsid w:val="00C9431E"/>
    <w:rsid w:val="00C9638A"/>
    <w:rsid w:val="00C964A0"/>
    <w:rsid w:val="00C96584"/>
    <w:rsid w:val="00C96897"/>
    <w:rsid w:val="00C9714F"/>
    <w:rsid w:val="00C97388"/>
    <w:rsid w:val="00CA14F4"/>
    <w:rsid w:val="00CA16BB"/>
    <w:rsid w:val="00CA1C34"/>
    <w:rsid w:val="00CA23BA"/>
    <w:rsid w:val="00CA3344"/>
    <w:rsid w:val="00CA4E93"/>
    <w:rsid w:val="00CA4FF9"/>
    <w:rsid w:val="00CA67B5"/>
    <w:rsid w:val="00CA6A8D"/>
    <w:rsid w:val="00CA6AFB"/>
    <w:rsid w:val="00CB1182"/>
    <w:rsid w:val="00CB247D"/>
    <w:rsid w:val="00CB24A5"/>
    <w:rsid w:val="00CB25DB"/>
    <w:rsid w:val="00CB3D15"/>
    <w:rsid w:val="00CB3E5F"/>
    <w:rsid w:val="00CB3EB8"/>
    <w:rsid w:val="00CB4E15"/>
    <w:rsid w:val="00CB564A"/>
    <w:rsid w:val="00CB6CF6"/>
    <w:rsid w:val="00CB6D1E"/>
    <w:rsid w:val="00CB7109"/>
    <w:rsid w:val="00CB798D"/>
    <w:rsid w:val="00CC0A71"/>
    <w:rsid w:val="00CC0AED"/>
    <w:rsid w:val="00CC1BB7"/>
    <w:rsid w:val="00CD0574"/>
    <w:rsid w:val="00CD0907"/>
    <w:rsid w:val="00CD0AE5"/>
    <w:rsid w:val="00CD10A2"/>
    <w:rsid w:val="00CD1C9B"/>
    <w:rsid w:val="00CD3160"/>
    <w:rsid w:val="00CD39E4"/>
    <w:rsid w:val="00CD5135"/>
    <w:rsid w:val="00CD69C5"/>
    <w:rsid w:val="00CD78CA"/>
    <w:rsid w:val="00CD7B36"/>
    <w:rsid w:val="00CE0B8A"/>
    <w:rsid w:val="00CE13F3"/>
    <w:rsid w:val="00CE27C5"/>
    <w:rsid w:val="00CE39AD"/>
    <w:rsid w:val="00CE4189"/>
    <w:rsid w:val="00CE6244"/>
    <w:rsid w:val="00CE77C3"/>
    <w:rsid w:val="00CE798F"/>
    <w:rsid w:val="00CF0383"/>
    <w:rsid w:val="00CF0699"/>
    <w:rsid w:val="00CF20F5"/>
    <w:rsid w:val="00CF2DE0"/>
    <w:rsid w:val="00D00709"/>
    <w:rsid w:val="00D01094"/>
    <w:rsid w:val="00D01DB7"/>
    <w:rsid w:val="00D029F8"/>
    <w:rsid w:val="00D0302C"/>
    <w:rsid w:val="00D0389F"/>
    <w:rsid w:val="00D04764"/>
    <w:rsid w:val="00D05D6B"/>
    <w:rsid w:val="00D06586"/>
    <w:rsid w:val="00D06BF7"/>
    <w:rsid w:val="00D07273"/>
    <w:rsid w:val="00D075AC"/>
    <w:rsid w:val="00D1009D"/>
    <w:rsid w:val="00D10526"/>
    <w:rsid w:val="00D1198A"/>
    <w:rsid w:val="00D11EEC"/>
    <w:rsid w:val="00D12296"/>
    <w:rsid w:val="00D12497"/>
    <w:rsid w:val="00D13B74"/>
    <w:rsid w:val="00D149C4"/>
    <w:rsid w:val="00D165F9"/>
    <w:rsid w:val="00D2061C"/>
    <w:rsid w:val="00D20B07"/>
    <w:rsid w:val="00D21AA0"/>
    <w:rsid w:val="00D21D86"/>
    <w:rsid w:val="00D2270F"/>
    <w:rsid w:val="00D22827"/>
    <w:rsid w:val="00D2314F"/>
    <w:rsid w:val="00D273FA"/>
    <w:rsid w:val="00D30131"/>
    <w:rsid w:val="00D306D6"/>
    <w:rsid w:val="00D34535"/>
    <w:rsid w:val="00D35481"/>
    <w:rsid w:val="00D4006B"/>
    <w:rsid w:val="00D40D2A"/>
    <w:rsid w:val="00D40DC7"/>
    <w:rsid w:val="00D40E9A"/>
    <w:rsid w:val="00D4130B"/>
    <w:rsid w:val="00D4144A"/>
    <w:rsid w:val="00D416BE"/>
    <w:rsid w:val="00D434EE"/>
    <w:rsid w:val="00D44488"/>
    <w:rsid w:val="00D44868"/>
    <w:rsid w:val="00D450A2"/>
    <w:rsid w:val="00D4545A"/>
    <w:rsid w:val="00D45D61"/>
    <w:rsid w:val="00D46975"/>
    <w:rsid w:val="00D46C58"/>
    <w:rsid w:val="00D46C73"/>
    <w:rsid w:val="00D52A14"/>
    <w:rsid w:val="00D554D4"/>
    <w:rsid w:val="00D55D40"/>
    <w:rsid w:val="00D5763D"/>
    <w:rsid w:val="00D57B55"/>
    <w:rsid w:val="00D60630"/>
    <w:rsid w:val="00D60FE2"/>
    <w:rsid w:val="00D61071"/>
    <w:rsid w:val="00D612A3"/>
    <w:rsid w:val="00D62A1C"/>
    <w:rsid w:val="00D62CED"/>
    <w:rsid w:val="00D6397C"/>
    <w:rsid w:val="00D64468"/>
    <w:rsid w:val="00D65437"/>
    <w:rsid w:val="00D657A1"/>
    <w:rsid w:val="00D72644"/>
    <w:rsid w:val="00D756C5"/>
    <w:rsid w:val="00D80A24"/>
    <w:rsid w:val="00D80CC9"/>
    <w:rsid w:val="00D82A9B"/>
    <w:rsid w:val="00D82B79"/>
    <w:rsid w:val="00D83C94"/>
    <w:rsid w:val="00D85360"/>
    <w:rsid w:val="00D86B4B"/>
    <w:rsid w:val="00D86D50"/>
    <w:rsid w:val="00D90C3E"/>
    <w:rsid w:val="00D91AF5"/>
    <w:rsid w:val="00D92DD8"/>
    <w:rsid w:val="00D94119"/>
    <w:rsid w:val="00D94CE7"/>
    <w:rsid w:val="00D95462"/>
    <w:rsid w:val="00D95743"/>
    <w:rsid w:val="00D97017"/>
    <w:rsid w:val="00D97E59"/>
    <w:rsid w:val="00DA08DB"/>
    <w:rsid w:val="00DA0C2B"/>
    <w:rsid w:val="00DA15AF"/>
    <w:rsid w:val="00DA1A14"/>
    <w:rsid w:val="00DA2603"/>
    <w:rsid w:val="00DA3068"/>
    <w:rsid w:val="00DA3BD9"/>
    <w:rsid w:val="00DA412A"/>
    <w:rsid w:val="00DA577B"/>
    <w:rsid w:val="00DA61E4"/>
    <w:rsid w:val="00DA69D2"/>
    <w:rsid w:val="00DA6C35"/>
    <w:rsid w:val="00DA7AC3"/>
    <w:rsid w:val="00DA7F0B"/>
    <w:rsid w:val="00DB0848"/>
    <w:rsid w:val="00DB4F67"/>
    <w:rsid w:val="00DB5517"/>
    <w:rsid w:val="00DB57B4"/>
    <w:rsid w:val="00DB5A2D"/>
    <w:rsid w:val="00DB66F0"/>
    <w:rsid w:val="00DB76C6"/>
    <w:rsid w:val="00DB79AC"/>
    <w:rsid w:val="00DB7AE7"/>
    <w:rsid w:val="00DB7C2D"/>
    <w:rsid w:val="00DC2993"/>
    <w:rsid w:val="00DC3053"/>
    <w:rsid w:val="00DC3076"/>
    <w:rsid w:val="00DC3E0C"/>
    <w:rsid w:val="00DC3E58"/>
    <w:rsid w:val="00DC3FF9"/>
    <w:rsid w:val="00DC4804"/>
    <w:rsid w:val="00DC4DFF"/>
    <w:rsid w:val="00DC649D"/>
    <w:rsid w:val="00DC7A1A"/>
    <w:rsid w:val="00DD0DE0"/>
    <w:rsid w:val="00DD19A7"/>
    <w:rsid w:val="00DD3635"/>
    <w:rsid w:val="00DD44A1"/>
    <w:rsid w:val="00DD4D70"/>
    <w:rsid w:val="00DD502A"/>
    <w:rsid w:val="00DD53C4"/>
    <w:rsid w:val="00DD71AE"/>
    <w:rsid w:val="00DD7C2A"/>
    <w:rsid w:val="00DE1556"/>
    <w:rsid w:val="00DE194C"/>
    <w:rsid w:val="00DE2AEA"/>
    <w:rsid w:val="00DE38D5"/>
    <w:rsid w:val="00DE418D"/>
    <w:rsid w:val="00DE460B"/>
    <w:rsid w:val="00DE49FC"/>
    <w:rsid w:val="00DE4DDE"/>
    <w:rsid w:val="00DE4E80"/>
    <w:rsid w:val="00DE6AAC"/>
    <w:rsid w:val="00DE7401"/>
    <w:rsid w:val="00DF1F83"/>
    <w:rsid w:val="00DF2F37"/>
    <w:rsid w:val="00DF31D8"/>
    <w:rsid w:val="00DF4518"/>
    <w:rsid w:val="00DF59B7"/>
    <w:rsid w:val="00E00953"/>
    <w:rsid w:val="00E0096E"/>
    <w:rsid w:val="00E06175"/>
    <w:rsid w:val="00E0640C"/>
    <w:rsid w:val="00E108CD"/>
    <w:rsid w:val="00E1195A"/>
    <w:rsid w:val="00E12098"/>
    <w:rsid w:val="00E1426C"/>
    <w:rsid w:val="00E14D3E"/>
    <w:rsid w:val="00E16058"/>
    <w:rsid w:val="00E163CD"/>
    <w:rsid w:val="00E17D6A"/>
    <w:rsid w:val="00E2033F"/>
    <w:rsid w:val="00E20A7D"/>
    <w:rsid w:val="00E20C53"/>
    <w:rsid w:val="00E21750"/>
    <w:rsid w:val="00E2198A"/>
    <w:rsid w:val="00E224EF"/>
    <w:rsid w:val="00E2280E"/>
    <w:rsid w:val="00E234B3"/>
    <w:rsid w:val="00E234FF"/>
    <w:rsid w:val="00E24820"/>
    <w:rsid w:val="00E24D65"/>
    <w:rsid w:val="00E269FE"/>
    <w:rsid w:val="00E30B4E"/>
    <w:rsid w:val="00E318B9"/>
    <w:rsid w:val="00E3296F"/>
    <w:rsid w:val="00E35E85"/>
    <w:rsid w:val="00E365E2"/>
    <w:rsid w:val="00E37C31"/>
    <w:rsid w:val="00E40613"/>
    <w:rsid w:val="00E407BD"/>
    <w:rsid w:val="00E41476"/>
    <w:rsid w:val="00E416E6"/>
    <w:rsid w:val="00E41FAE"/>
    <w:rsid w:val="00E423E4"/>
    <w:rsid w:val="00E425FA"/>
    <w:rsid w:val="00E4268B"/>
    <w:rsid w:val="00E4440E"/>
    <w:rsid w:val="00E46291"/>
    <w:rsid w:val="00E4671F"/>
    <w:rsid w:val="00E5009E"/>
    <w:rsid w:val="00E50467"/>
    <w:rsid w:val="00E50BDA"/>
    <w:rsid w:val="00E53960"/>
    <w:rsid w:val="00E539A5"/>
    <w:rsid w:val="00E53B49"/>
    <w:rsid w:val="00E54EF7"/>
    <w:rsid w:val="00E56547"/>
    <w:rsid w:val="00E56D44"/>
    <w:rsid w:val="00E572C9"/>
    <w:rsid w:val="00E601FE"/>
    <w:rsid w:val="00E60A9F"/>
    <w:rsid w:val="00E60E16"/>
    <w:rsid w:val="00E60E34"/>
    <w:rsid w:val="00E6127D"/>
    <w:rsid w:val="00E63C31"/>
    <w:rsid w:val="00E64012"/>
    <w:rsid w:val="00E6470D"/>
    <w:rsid w:val="00E65319"/>
    <w:rsid w:val="00E67AE1"/>
    <w:rsid w:val="00E67D24"/>
    <w:rsid w:val="00E70CE5"/>
    <w:rsid w:val="00E71BDE"/>
    <w:rsid w:val="00E72E8D"/>
    <w:rsid w:val="00E748DD"/>
    <w:rsid w:val="00E75F5D"/>
    <w:rsid w:val="00E769A1"/>
    <w:rsid w:val="00E76AEB"/>
    <w:rsid w:val="00E777B0"/>
    <w:rsid w:val="00E818FC"/>
    <w:rsid w:val="00E84B59"/>
    <w:rsid w:val="00E85C05"/>
    <w:rsid w:val="00E85C8B"/>
    <w:rsid w:val="00E86784"/>
    <w:rsid w:val="00E86BBB"/>
    <w:rsid w:val="00E87293"/>
    <w:rsid w:val="00E873A3"/>
    <w:rsid w:val="00E90252"/>
    <w:rsid w:val="00E92005"/>
    <w:rsid w:val="00E92EB4"/>
    <w:rsid w:val="00E934BE"/>
    <w:rsid w:val="00E934F3"/>
    <w:rsid w:val="00E9543D"/>
    <w:rsid w:val="00E9686F"/>
    <w:rsid w:val="00E971E7"/>
    <w:rsid w:val="00E973EB"/>
    <w:rsid w:val="00E9764D"/>
    <w:rsid w:val="00E97A66"/>
    <w:rsid w:val="00E97FE1"/>
    <w:rsid w:val="00EA0186"/>
    <w:rsid w:val="00EA02C5"/>
    <w:rsid w:val="00EA13FF"/>
    <w:rsid w:val="00EA44B9"/>
    <w:rsid w:val="00EA494A"/>
    <w:rsid w:val="00EA6670"/>
    <w:rsid w:val="00EA6DBB"/>
    <w:rsid w:val="00EA75DE"/>
    <w:rsid w:val="00EA7630"/>
    <w:rsid w:val="00EB3007"/>
    <w:rsid w:val="00EB3418"/>
    <w:rsid w:val="00EB41AF"/>
    <w:rsid w:val="00EB43F3"/>
    <w:rsid w:val="00EB5362"/>
    <w:rsid w:val="00EB5A21"/>
    <w:rsid w:val="00EB651C"/>
    <w:rsid w:val="00EB68CD"/>
    <w:rsid w:val="00EB6B3A"/>
    <w:rsid w:val="00EB72DD"/>
    <w:rsid w:val="00EC250E"/>
    <w:rsid w:val="00EC2530"/>
    <w:rsid w:val="00EC35EB"/>
    <w:rsid w:val="00EC39B6"/>
    <w:rsid w:val="00EC3A90"/>
    <w:rsid w:val="00EC4C13"/>
    <w:rsid w:val="00EC69C5"/>
    <w:rsid w:val="00EC796D"/>
    <w:rsid w:val="00ED02BA"/>
    <w:rsid w:val="00ED0E58"/>
    <w:rsid w:val="00ED1379"/>
    <w:rsid w:val="00ED1E5B"/>
    <w:rsid w:val="00ED237D"/>
    <w:rsid w:val="00ED2467"/>
    <w:rsid w:val="00ED2BEC"/>
    <w:rsid w:val="00ED2D1D"/>
    <w:rsid w:val="00ED3506"/>
    <w:rsid w:val="00ED5CBF"/>
    <w:rsid w:val="00ED6224"/>
    <w:rsid w:val="00ED63C6"/>
    <w:rsid w:val="00ED7BF6"/>
    <w:rsid w:val="00ED7FE6"/>
    <w:rsid w:val="00EE1146"/>
    <w:rsid w:val="00EE15E1"/>
    <w:rsid w:val="00EE162C"/>
    <w:rsid w:val="00EE1948"/>
    <w:rsid w:val="00EE1BBD"/>
    <w:rsid w:val="00EE1D91"/>
    <w:rsid w:val="00EE248B"/>
    <w:rsid w:val="00EE3D6E"/>
    <w:rsid w:val="00EE557E"/>
    <w:rsid w:val="00EE598D"/>
    <w:rsid w:val="00EE627D"/>
    <w:rsid w:val="00EF057E"/>
    <w:rsid w:val="00EF0649"/>
    <w:rsid w:val="00EF0CE7"/>
    <w:rsid w:val="00EF2510"/>
    <w:rsid w:val="00EF3E27"/>
    <w:rsid w:val="00EF41E3"/>
    <w:rsid w:val="00EF476C"/>
    <w:rsid w:val="00EF4CF5"/>
    <w:rsid w:val="00EF4E42"/>
    <w:rsid w:val="00EF55C2"/>
    <w:rsid w:val="00EF56AF"/>
    <w:rsid w:val="00EF59F7"/>
    <w:rsid w:val="00EF691C"/>
    <w:rsid w:val="00EF6FD0"/>
    <w:rsid w:val="00EF74A3"/>
    <w:rsid w:val="00EF7910"/>
    <w:rsid w:val="00F002C9"/>
    <w:rsid w:val="00F00317"/>
    <w:rsid w:val="00F006B6"/>
    <w:rsid w:val="00F009BB"/>
    <w:rsid w:val="00F02579"/>
    <w:rsid w:val="00F03269"/>
    <w:rsid w:val="00F042EB"/>
    <w:rsid w:val="00F04FFB"/>
    <w:rsid w:val="00F0631F"/>
    <w:rsid w:val="00F06E70"/>
    <w:rsid w:val="00F06ED0"/>
    <w:rsid w:val="00F072FF"/>
    <w:rsid w:val="00F10051"/>
    <w:rsid w:val="00F1143B"/>
    <w:rsid w:val="00F13B0F"/>
    <w:rsid w:val="00F148BB"/>
    <w:rsid w:val="00F15120"/>
    <w:rsid w:val="00F1660B"/>
    <w:rsid w:val="00F172A4"/>
    <w:rsid w:val="00F17A23"/>
    <w:rsid w:val="00F21B05"/>
    <w:rsid w:val="00F21E9E"/>
    <w:rsid w:val="00F2268B"/>
    <w:rsid w:val="00F23067"/>
    <w:rsid w:val="00F23BF5"/>
    <w:rsid w:val="00F23D01"/>
    <w:rsid w:val="00F244D6"/>
    <w:rsid w:val="00F24666"/>
    <w:rsid w:val="00F2474F"/>
    <w:rsid w:val="00F263CC"/>
    <w:rsid w:val="00F2686C"/>
    <w:rsid w:val="00F26F29"/>
    <w:rsid w:val="00F3086B"/>
    <w:rsid w:val="00F314E4"/>
    <w:rsid w:val="00F315EB"/>
    <w:rsid w:val="00F318C7"/>
    <w:rsid w:val="00F31921"/>
    <w:rsid w:val="00F31C2D"/>
    <w:rsid w:val="00F32008"/>
    <w:rsid w:val="00F33F20"/>
    <w:rsid w:val="00F340B2"/>
    <w:rsid w:val="00F3418D"/>
    <w:rsid w:val="00F34383"/>
    <w:rsid w:val="00F35995"/>
    <w:rsid w:val="00F35D22"/>
    <w:rsid w:val="00F35F1F"/>
    <w:rsid w:val="00F3711F"/>
    <w:rsid w:val="00F40533"/>
    <w:rsid w:val="00F424E0"/>
    <w:rsid w:val="00F433F1"/>
    <w:rsid w:val="00F44FAE"/>
    <w:rsid w:val="00F451B6"/>
    <w:rsid w:val="00F4655B"/>
    <w:rsid w:val="00F4686F"/>
    <w:rsid w:val="00F46D14"/>
    <w:rsid w:val="00F46E18"/>
    <w:rsid w:val="00F47644"/>
    <w:rsid w:val="00F479FB"/>
    <w:rsid w:val="00F506BA"/>
    <w:rsid w:val="00F510EB"/>
    <w:rsid w:val="00F530D5"/>
    <w:rsid w:val="00F53C70"/>
    <w:rsid w:val="00F548B1"/>
    <w:rsid w:val="00F549E4"/>
    <w:rsid w:val="00F5541D"/>
    <w:rsid w:val="00F55A1E"/>
    <w:rsid w:val="00F567A7"/>
    <w:rsid w:val="00F56ACC"/>
    <w:rsid w:val="00F6361C"/>
    <w:rsid w:val="00F63FC2"/>
    <w:rsid w:val="00F640C2"/>
    <w:rsid w:val="00F64581"/>
    <w:rsid w:val="00F66853"/>
    <w:rsid w:val="00F703F8"/>
    <w:rsid w:val="00F705A5"/>
    <w:rsid w:val="00F71502"/>
    <w:rsid w:val="00F7183F"/>
    <w:rsid w:val="00F71C81"/>
    <w:rsid w:val="00F723AC"/>
    <w:rsid w:val="00F72768"/>
    <w:rsid w:val="00F77612"/>
    <w:rsid w:val="00F77AD1"/>
    <w:rsid w:val="00F8018D"/>
    <w:rsid w:val="00F80303"/>
    <w:rsid w:val="00F80D85"/>
    <w:rsid w:val="00F823F3"/>
    <w:rsid w:val="00F82875"/>
    <w:rsid w:val="00F8360D"/>
    <w:rsid w:val="00F84E35"/>
    <w:rsid w:val="00F84F77"/>
    <w:rsid w:val="00F85E65"/>
    <w:rsid w:val="00F87537"/>
    <w:rsid w:val="00F87927"/>
    <w:rsid w:val="00F911B3"/>
    <w:rsid w:val="00F915B2"/>
    <w:rsid w:val="00F934A0"/>
    <w:rsid w:val="00F93520"/>
    <w:rsid w:val="00F93ED0"/>
    <w:rsid w:val="00F94385"/>
    <w:rsid w:val="00F9486C"/>
    <w:rsid w:val="00F957FF"/>
    <w:rsid w:val="00F95EEB"/>
    <w:rsid w:val="00F96E07"/>
    <w:rsid w:val="00F970CD"/>
    <w:rsid w:val="00F972C3"/>
    <w:rsid w:val="00F973EC"/>
    <w:rsid w:val="00FA1091"/>
    <w:rsid w:val="00FA2CB5"/>
    <w:rsid w:val="00FA2E27"/>
    <w:rsid w:val="00FA3B3D"/>
    <w:rsid w:val="00FA4C31"/>
    <w:rsid w:val="00FA565C"/>
    <w:rsid w:val="00FA5CCC"/>
    <w:rsid w:val="00FA5E64"/>
    <w:rsid w:val="00FA5ED6"/>
    <w:rsid w:val="00FA664A"/>
    <w:rsid w:val="00FA7039"/>
    <w:rsid w:val="00FA7A34"/>
    <w:rsid w:val="00FB001B"/>
    <w:rsid w:val="00FB00A3"/>
    <w:rsid w:val="00FB0603"/>
    <w:rsid w:val="00FB153E"/>
    <w:rsid w:val="00FB6262"/>
    <w:rsid w:val="00FB6D9D"/>
    <w:rsid w:val="00FB7FED"/>
    <w:rsid w:val="00FC01FF"/>
    <w:rsid w:val="00FC164F"/>
    <w:rsid w:val="00FC206F"/>
    <w:rsid w:val="00FC2F8D"/>
    <w:rsid w:val="00FC5833"/>
    <w:rsid w:val="00FC5948"/>
    <w:rsid w:val="00FC66A9"/>
    <w:rsid w:val="00FD0CE2"/>
    <w:rsid w:val="00FD31B2"/>
    <w:rsid w:val="00FD32EA"/>
    <w:rsid w:val="00FD3404"/>
    <w:rsid w:val="00FD3F7A"/>
    <w:rsid w:val="00FD5749"/>
    <w:rsid w:val="00FD6BD4"/>
    <w:rsid w:val="00FD6F57"/>
    <w:rsid w:val="00FD763E"/>
    <w:rsid w:val="00FE048B"/>
    <w:rsid w:val="00FE06F0"/>
    <w:rsid w:val="00FE10AC"/>
    <w:rsid w:val="00FE1AA0"/>
    <w:rsid w:val="00FE1C88"/>
    <w:rsid w:val="00FE275A"/>
    <w:rsid w:val="00FE2930"/>
    <w:rsid w:val="00FE2AE3"/>
    <w:rsid w:val="00FE33E9"/>
    <w:rsid w:val="00FE4EE9"/>
    <w:rsid w:val="00FE5163"/>
    <w:rsid w:val="00FE56DE"/>
    <w:rsid w:val="00FE696A"/>
    <w:rsid w:val="00FE6A40"/>
    <w:rsid w:val="00FE7C2E"/>
    <w:rsid w:val="00FE7F36"/>
    <w:rsid w:val="00FF3A17"/>
    <w:rsid w:val="00FF4B59"/>
    <w:rsid w:val="00FF4D7D"/>
    <w:rsid w:val="00FF785C"/>
    <w:rsid w:val="01791CD3"/>
    <w:rsid w:val="01C502E0"/>
    <w:rsid w:val="0205793E"/>
    <w:rsid w:val="023764B2"/>
    <w:rsid w:val="02533F80"/>
    <w:rsid w:val="03944676"/>
    <w:rsid w:val="03D114CB"/>
    <w:rsid w:val="03F21BCC"/>
    <w:rsid w:val="0433251E"/>
    <w:rsid w:val="047B0B3A"/>
    <w:rsid w:val="04EB0EE2"/>
    <w:rsid w:val="063C29C9"/>
    <w:rsid w:val="06832477"/>
    <w:rsid w:val="06856661"/>
    <w:rsid w:val="073B62FE"/>
    <w:rsid w:val="078966FD"/>
    <w:rsid w:val="07BD4336"/>
    <w:rsid w:val="08A01674"/>
    <w:rsid w:val="0920039A"/>
    <w:rsid w:val="095E54F2"/>
    <w:rsid w:val="09FF1157"/>
    <w:rsid w:val="0A015D01"/>
    <w:rsid w:val="0A4C255E"/>
    <w:rsid w:val="0A4F1CC6"/>
    <w:rsid w:val="0A7F56D8"/>
    <w:rsid w:val="0A854839"/>
    <w:rsid w:val="0ACA0AE6"/>
    <w:rsid w:val="0AD94570"/>
    <w:rsid w:val="0AEB48B5"/>
    <w:rsid w:val="0BAE1B1C"/>
    <w:rsid w:val="0C0E7A39"/>
    <w:rsid w:val="0D1F336B"/>
    <w:rsid w:val="0DD6300D"/>
    <w:rsid w:val="0DDB4FA9"/>
    <w:rsid w:val="0DE03378"/>
    <w:rsid w:val="0E141045"/>
    <w:rsid w:val="0E2B2918"/>
    <w:rsid w:val="0E7D4BEE"/>
    <w:rsid w:val="0E9A33AE"/>
    <w:rsid w:val="0EE408D5"/>
    <w:rsid w:val="0EF71738"/>
    <w:rsid w:val="0F655FB1"/>
    <w:rsid w:val="0F834B3D"/>
    <w:rsid w:val="0FCD31DE"/>
    <w:rsid w:val="100C2663"/>
    <w:rsid w:val="100D7D1E"/>
    <w:rsid w:val="107F782F"/>
    <w:rsid w:val="11094D4C"/>
    <w:rsid w:val="111C3487"/>
    <w:rsid w:val="117B3ACB"/>
    <w:rsid w:val="11803E11"/>
    <w:rsid w:val="11B147AE"/>
    <w:rsid w:val="11F052D6"/>
    <w:rsid w:val="122A59BD"/>
    <w:rsid w:val="12761244"/>
    <w:rsid w:val="12A76E20"/>
    <w:rsid w:val="12B20277"/>
    <w:rsid w:val="147C4B0B"/>
    <w:rsid w:val="14BE5F44"/>
    <w:rsid w:val="15194B44"/>
    <w:rsid w:val="1546345F"/>
    <w:rsid w:val="15891CCA"/>
    <w:rsid w:val="15BB233B"/>
    <w:rsid w:val="15C55D50"/>
    <w:rsid w:val="15CC6A3A"/>
    <w:rsid w:val="15E907B0"/>
    <w:rsid w:val="15FD3A42"/>
    <w:rsid w:val="163F73D8"/>
    <w:rsid w:val="16C9AC94"/>
    <w:rsid w:val="17373E4C"/>
    <w:rsid w:val="17EEF9BF"/>
    <w:rsid w:val="18CD0120"/>
    <w:rsid w:val="19010B5E"/>
    <w:rsid w:val="193B6702"/>
    <w:rsid w:val="199865BF"/>
    <w:rsid w:val="1A321375"/>
    <w:rsid w:val="1AE6371B"/>
    <w:rsid w:val="1AEE8575"/>
    <w:rsid w:val="1B125BAC"/>
    <w:rsid w:val="1B150798"/>
    <w:rsid w:val="1B287E1F"/>
    <w:rsid w:val="1BDF427D"/>
    <w:rsid w:val="1C11583C"/>
    <w:rsid w:val="1C212338"/>
    <w:rsid w:val="1C244D13"/>
    <w:rsid w:val="1C634634"/>
    <w:rsid w:val="1C803DCB"/>
    <w:rsid w:val="1CA064D4"/>
    <w:rsid w:val="1CB60B01"/>
    <w:rsid w:val="1D0F0676"/>
    <w:rsid w:val="1D68505D"/>
    <w:rsid w:val="1DDF7107"/>
    <w:rsid w:val="1DF613D9"/>
    <w:rsid w:val="1E0D352E"/>
    <w:rsid w:val="1E1835F3"/>
    <w:rsid w:val="1E8E66B7"/>
    <w:rsid w:val="1EB5526B"/>
    <w:rsid w:val="1EF354FD"/>
    <w:rsid w:val="1F2703FC"/>
    <w:rsid w:val="1FB902AF"/>
    <w:rsid w:val="1FDB18A8"/>
    <w:rsid w:val="1FDF7FCD"/>
    <w:rsid w:val="1FF35677"/>
    <w:rsid w:val="207A470F"/>
    <w:rsid w:val="210B463E"/>
    <w:rsid w:val="21104AD5"/>
    <w:rsid w:val="212E710B"/>
    <w:rsid w:val="217106AC"/>
    <w:rsid w:val="21943D46"/>
    <w:rsid w:val="21D043CE"/>
    <w:rsid w:val="21F5556B"/>
    <w:rsid w:val="2288155B"/>
    <w:rsid w:val="22F94293"/>
    <w:rsid w:val="246B6A3F"/>
    <w:rsid w:val="255B6AC9"/>
    <w:rsid w:val="25DC07E7"/>
    <w:rsid w:val="261F3F85"/>
    <w:rsid w:val="267D6303"/>
    <w:rsid w:val="267E36E0"/>
    <w:rsid w:val="277D4073"/>
    <w:rsid w:val="27824BF7"/>
    <w:rsid w:val="278D7DFF"/>
    <w:rsid w:val="27A75FE0"/>
    <w:rsid w:val="27D2009E"/>
    <w:rsid w:val="27F7B3D6"/>
    <w:rsid w:val="28685886"/>
    <w:rsid w:val="289C1037"/>
    <w:rsid w:val="28B05A59"/>
    <w:rsid w:val="28B97D6A"/>
    <w:rsid w:val="28F10DEC"/>
    <w:rsid w:val="29572F1C"/>
    <w:rsid w:val="29D12225"/>
    <w:rsid w:val="2A3D0E7D"/>
    <w:rsid w:val="2A675B61"/>
    <w:rsid w:val="2A9F4381"/>
    <w:rsid w:val="2AD35F6A"/>
    <w:rsid w:val="2B337D29"/>
    <w:rsid w:val="2B746879"/>
    <w:rsid w:val="2BC4E4FA"/>
    <w:rsid w:val="2BDFA08F"/>
    <w:rsid w:val="2BE17618"/>
    <w:rsid w:val="2C3D26FD"/>
    <w:rsid w:val="2C7C3FCF"/>
    <w:rsid w:val="2C8972E8"/>
    <w:rsid w:val="2D126703"/>
    <w:rsid w:val="2D653220"/>
    <w:rsid w:val="2D7E4089"/>
    <w:rsid w:val="2D7F3696"/>
    <w:rsid w:val="2D9178FC"/>
    <w:rsid w:val="2E0C4867"/>
    <w:rsid w:val="2E460B24"/>
    <w:rsid w:val="2E9B6589"/>
    <w:rsid w:val="2EAEC9F1"/>
    <w:rsid w:val="2F1321AD"/>
    <w:rsid w:val="2F257996"/>
    <w:rsid w:val="2F5F1AD0"/>
    <w:rsid w:val="2F79B7FF"/>
    <w:rsid w:val="2F8A7425"/>
    <w:rsid w:val="2FB11BF0"/>
    <w:rsid w:val="2FD9E2C8"/>
    <w:rsid w:val="30C85830"/>
    <w:rsid w:val="30F50996"/>
    <w:rsid w:val="30FC548F"/>
    <w:rsid w:val="31286E31"/>
    <w:rsid w:val="32C21E80"/>
    <w:rsid w:val="32CC4585"/>
    <w:rsid w:val="32D833CC"/>
    <w:rsid w:val="32FF0045"/>
    <w:rsid w:val="33222F79"/>
    <w:rsid w:val="33446C47"/>
    <w:rsid w:val="337D6FDA"/>
    <w:rsid w:val="337E48D0"/>
    <w:rsid w:val="338D7B37"/>
    <w:rsid w:val="33D632D4"/>
    <w:rsid w:val="33ED121E"/>
    <w:rsid w:val="341337CB"/>
    <w:rsid w:val="347E7F55"/>
    <w:rsid w:val="34983880"/>
    <w:rsid w:val="34D33B5B"/>
    <w:rsid w:val="35DEB453"/>
    <w:rsid w:val="35F452AD"/>
    <w:rsid w:val="35FA18FA"/>
    <w:rsid w:val="35FDA9A0"/>
    <w:rsid w:val="36057C4F"/>
    <w:rsid w:val="369D7621"/>
    <w:rsid w:val="36D13079"/>
    <w:rsid w:val="36EFD636"/>
    <w:rsid w:val="36F42249"/>
    <w:rsid w:val="370B5D0C"/>
    <w:rsid w:val="372DF4E4"/>
    <w:rsid w:val="373B347C"/>
    <w:rsid w:val="37540AA2"/>
    <w:rsid w:val="37CEC8E3"/>
    <w:rsid w:val="37EFC505"/>
    <w:rsid w:val="38073074"/>
    <w:rsid w:val="38390CFC"/>
    <w:rsid w:val="383A64FE"/>
    <w:rsid w:val="38E87BC9"/>
    <w:rsid w:val="392320EF"/>
    <w:rsid w:val="392F64B6"/>
    <w:rsid w:val="3953468E"/>
    <w:rsid w:val="3997BC09"/>
    <w:rsid w:val="39FBDF40"/>
    <w:rsid w:val="3A296FBE"/>
    <w:rsid w:val="3A49346A"/>
    <w:rsid w:val="3AB63421"/>
    <w:rsid w:val="3AF7C7FE"/>
    <w:rsid w:val="3B3C48E8"/>
    <w:rsid w:val="3B6F22B3"/>
    <w:rsid w:val="3B7C21DC"/>
    <w:rsid w:val="3B9E1077"/>
    <w:rsid w:val="3BAF13BF"/>
    <w:rsid w:val="3BB64A76"/>
    <w:rsid w:val="3BE65550"/>
    <w:rsid w:val="3BF533B1"/>
    <w:rsid w:val="3BF64AAD"/>
    <w:rsid w:val="3BFF7820"/>
    <w:rsid w:val="3BFF8763"/>
    <w:rsid w:val="3BFFEA80"/>
    <w:rsid w:val="3C02752B"/>
    <w:rsid w:val="3C271159"/>
    <w:rsid w:val="3C3D00DE"/>
    <w:rsid w:val="3C9D1F87"/>
    <w:rsid w:val="3CEA23BD"/>
    <w:rsid w:val="3D366A4A"/>
    <w:rsid w:val="3D4476E5"/>
    <w:rsid w:val="3D49013B"/>
    <w:rsid w:val="3D6E79D2"/>
    <w:rsid w:val="3D7D2179"/>
    <w:rsid w:val="3DB70AD3"/>
    <w:rsid w:val="3DDD6D33"/>
    <w:rsid w:val="3DFD8960"/>
    <w:rsid w:val="3DFF6A48"/>
    <w:rsid w:val="3E0D90E0"/>
    <w:rsid w:val="3E4FDD81"/>
    <w:rsid w:val="3F2A1578"/>
    <w:rsid w:val="3F2FF45A"/>
    <w:rsid w:val="3F4B2142"/>
    <w:rsid w:val="3F4EFA06"/>
    <w:rsid w:val="3F67181A"/>
    <w:rsid w:val="3F6FB961"/>
    <w:rsid w:val="3F7AE3C0"/>
    <w:rsid w:val="3F841762"/>
    <w:rsid w:val="3FAE82D2"/>
    <w:rsid w:val="3FB9CFD9"/>
    <w:rsid w:val="3FC43BC9"/>
    <w:rsid w:val="3FDD800F"/>
    <w:rsid w:val="3FDF0E39"/>
    <w:rsid w:val="3FDFD8B7"/>
    <w:rsid w:val="3FE0CCD5"/>
    <w:rsid w:val="3FE2218B"/>
    <w:rsid w:val="3FF74EEE"/>
    <w:rsid w:val="3FFA062E"/>
    <w:rsid w:val="3FFDF18F"/>
    <w:rsid w:val="3FFF356A"/>
    <w:rsid w:val="3FFF4E45"/>
    <w:rsid w:val="3FFF89BB"/>
    <w:rsid w:val="40360E64"/>
    <w:rsid w:val="408C4C8F"/>
    <w:rsid w:val="413B40E9"/>
    <w:rsid w:val="414E51F3"/>
    <w:rsid w:val="41B10AC2"/>
    <w:rsid w:val="41D95413"/>
    <w:rsid w:val="4259386D"/>
    <w:rsid w:val="42C17813"/>
    <w:rsid w:val="431866C6"/>
    <w:rsid w:val="434D3B25"/>
    <w:rsid w:val="438F73C5"/>
    <w:rsid w:val="43C5EFCC"/>
    <w:rsid w:val="43D44955"/>
    <w:rsid w:val="44585D35"/>
    <w:rsid w:val="445B21D4"/>
    <w:rsid w:val="44FA1861"/>
    <w:rsid w:val="45453B9B"/>
    <w:rsid w:val="466E52B3"/>
    <w:rsid w:val="46CA7E9E"/>
    <w:rsid w:val="46F65E21"/>
    <w:rsid w:val="4744128D"/>
    <w:rsid w:val="47504770"/>
    <w:rsid w:val="47921C09"/>
    <w:rsid w:val="47D479C8"/>
    <w:rsid w:val="47EE1D62"/>
    <w:rsid w:val="47F1197B"/>
    <w:rsid w:val="48E56A2C"/>
    <w:rsid w:val="495E4CB3"/>
    <w:rsid w:val="497B4A43"/>
    <w:rsid w:val="498E1E37"/>
    <w:rsid w:val="49EA0282"/>
    <w:rsid w:val="49EFCEA3"/>
    <w:rsid w:val="4A064368"/>
    <w:rsid w:val="4A2F5D4E"/>
    <w:rsid w:val="4AA05FC0"/>
    <w:rsid w:val="4AA20354"/>
    <w:rsid w:val="4ADB22A1"/>
    <w:rsid w:val="4AEC34B5"/>
    <w:rsid w:val="4B5005B9"/>
    <w:rsid w:val="4BFFDA48"/>
    <w:rsid w:val="4C1414C8"/>
    <w:rsid w:val="4C2067BE"/>
    <w:rsid w:val="4CB5461B"/>
    <w:rsid w:val="4CBC5762"/>
    <w:rsid w:val="4D100E7F"/>
    <w:rsid w:val="4D1F38CE"/>
    <w:rsid w:val="4DB766CD"/>
    <w:rsid w:val="4DB8CA2B"/>
    <w:rsid w:val="4E4D5452"/>
    <w:rsid w:val="4E8778D4"/>
    <w:rsid w:val="4EAF389A"/>
    <w:rsid w:val="4F5812B6"/>
    <w:rsid w:val="4F5A5B74"/>
    <w:rsid w:val="4F671238"/>
    <w:rsid w:val="4FB31116"/>
    <w:rsid w:val="4FBD4F30"/>
    <w:rsid w:val="4FE53972"/>
    <w:rsid w:val="503C68AA"/>
    <w:rsid w:val="50CE02B2"/>
    <w:rsid w:val="50E04BBA"/>
    <w:rsid w:val="50F95C4E"/>
    <w:rsid w:val="51086BB6"/>
    <w:rsid w:val="51326EB6"/>
    <w:rsid w:val="514D6B2E"/>
    <w:rsid w:val="516E5206"/>
    <w:rsid w:val="51825244"/>
    <w:rsid w:val="51EB103B"/>
    <w:rsid w:val="527926DA"/>
    <w:rsid w:val="52FB52AE"/>
    <w:rsid w:val="534479D7"/>
    <w:rsid w:val="5358751C"/>
    <w:rsid w:val="53740B45"/>
    <w:rsid w:val="53C83586"/>
    <w:rsid w:val="548E6E95"/>
    <w:rsid w:val="54915733"/>
    <w:rsid w:val="54DE1417"/>
    <w:rsid w:val="5549276B"/>
    <w:rsid w:val="554F368F"/>
    <w:rsid w:val="556B45C1"/>
    <w:rsid w:val="55BE28AC"/>
    <w:rsid w:val="55FF452A"/>
    <w:rsid w:val="56104FC2"/>
    <w:rsid w:val="56262319"/>
    <w:rsid w:val="56513061"/>
    <w:rsid w:val="569B2BBD"/>
    <w:rsid w:val="569C760E"/>
    <w:rsid w:val="569F7CC5"/>
    <w:rsid w:val="56FB12FA"/>
    <w:rsid w:val="57250B4B"/>
    <w:rsid w:val="57571CC6"/>
    <w:rsid w:val="576E2CC0"/>
    <w:rsid w:val="578A4B45"/>
    <w:rsid w:val="57B63614"/>
    <w:rsid w:val="57FE5A6A"/>
    <w:rsid w:val="57FFABDC"/>
    <w:rsid w:val="58234BB9"/>
    <w:rsid w:val="584B08BD"/>
    <w:rsid w:val="58A67FE8"/>
    <w:rsid w:val="591FD123"/>
    <w:rsid w:val="596C0CB3"/>
    <w:rsid w:val="59B47F65"/>
    <w:rsid w:val="5A222771"/>
    <w:rsid w:val="5AA91B59"/>
    <w:rsid w:val="5AD46575"/>
    <w:rsid w:val="5B146098"/>
    <w:rsid w:val="5B1E7D8B"/>
    <w:rsid w:val="5B4A0DDA"/>
    <w:rsid w:val="5BC3325E"/>
    <w:rsid w:val="5BF1578E"/>
    <w:rsid w:val="5C193A65"/>
    <w:rsid w:val="5CF2576A"/>
    <w:rsid w:val="5CFFBE88"/>
    <w:rsid w:val="5DB911BC"/>
    <w:rsid w:val="5DE6657A"/>
    <w:rsid w:val="5DF5819D"/>
    <w:rsid w:val="5E7C376C"/>
    <w:rsid w:val="5E8D6361"/>
    <w:rsid w:val="5EA837C9"/>
    <w:rsid w:val="5EC02968"/>
    <w:rsid w:val="5EF71B2E"/>
    <w:rsid w:val="5F0E45BB"/>
    <w:rsid w:val="5F3DC737"/>
    <w:rsid w:val="5F5F5F0E"/>
    <w:rsid w:val="5F606F7D"/>
    <w:rsid w:val="5F6F27E6"/>
    <w:rsid w:val="5F7A91EA"/>
    <w:rsid w:val="5F8624F1"/>
    <w:rsid w:val="5F8D37B7"/>
    <w:rsid w:val="5F9B53A1"/>
    <w:rsid w:val="5FC50B3D"/>
    <w:rsid w:val="5FDB1D92"/>
    <w:rsid w:val="5FEA2932"/>
    <w:rsid w:val="5FEDC342"/>
    <w:rsid w:val="5FF23595"/>
    <w:rsid w:val="5FF35171"/>
    <w:rsid w:val="5FF60412"/>
    <w:rsid w:val="5FF65026"/>
    <w:rsid w:val="5FFFAC80"/>
    <w:rsid w:val="60124C12"/>
    <w:rsid w:val="60393A72"/>
    <w:rsid w:val="603A516E"/>
    <w:rsid w:val="60754B42"/>
    <w:rsid w:val="60B30F76"/>
    <w:rsid w:val="60C237D0"/>
    <w:rsid w:val="60C931D4"/>
    <w:rsid w:val="61572DAE"/>
    <w:rsid w:val="61AC78CC"/>
    <w:rsid w:val="620307DD"/>
    <w:rsid w:val="62176D39"/>
    <w:rsid w:val="62343ED9"/>
    <w:rsid w:val="62467BC8"/>
    <w:rsid w:val="63311331"/>
    <w:rsid w:val="63532FF1"/>
    <w:rsid w:val="63903516"/>
    <w:rsid w:val="63EC7FE2"/>
    <w:rsid w:val="63FC06B4"/>
    <w:rsid w:val="6444055B"/>
    <w:rsid w:val="644E7E74"/>
    <w:rsid w:val="647057FB"/>
    <w:rsid w:val="6478757A"/>
    <w:rsid w:val="647975EC"/>
    <w:rsid w:val="64A954DC"/>
    <w:rsid w:val="6502744D"/>
    <w:rsid w:val="65064292"/>
    <w:rsid w:val="650937C9"/>
    <w:rsid w:val="653E7284"/>
    <w:rsid w:val="65464BB6"/>
    <w:rsid w:val="65D97BA7"/>
    <w:rsid w:val="65DFA4BB"/>
    <w:rsid w:val="66010196"/>
    <w:rsid w:val="663A1AF8"/>
    <w:rsid w:val="66D03EF3"/>
    <w:rsid w:val="66FFC039"/>
    <w:rsid w:val="67480B1F"/>
    <w:rsid w:val="67596562"/>
    <w:rsid w:val="67AA3B19"/>
    <w:rsid w:val="67AB656F"/>
    <w:rsid w:val="67C15479"/>
    <w:rsid w:val="67CE48E7"/>
    <w:rsid w:val="67DA7FEE"/>
    <w:rsid w:val="67F32B26"/>
    <w:rsid w:val="69165C6D"/>
    <w:rsid w:val="693B6DFD"/>
    <w:rsid w:val="69551473"/>
    <w:rsid w:val="69627389"/>
    <w:rsid w:val="696D0284"/>
    <w:rsid w:val="6978C146"/>
    <w:rsid w:val="69D215D7"/>
    <w:rsid w:val="69DB544E"/>
    <w:rsid w:val="6AFFD4D3"/>
    <w:rsid w:val="6B0A723D"/>
    <w:rsid w:val="6B6E2CBD"/>
    <w:rsid w:val="6B777F18"/>
    <w:rsid w:val="6B79A76F"/>
    <w:rsid w:val="6BBE0DBA"/>
    <w:rsid w:val="6BBF2186"/>
    <w:rsid w:val="6BD12F95"/>
    <w:rsid w:val="6BDD5CD8"/>
    <w:rsid w:val="6BF1475D"/>
    <w:rsid w:val="6C075DAC"/>
    <w:rsid w:val="6C325657"/>
    <w:rsid w:val="6C6B2312"/>
    <w:rsid w:val="6CB46AE8"/>
    <w:rsid w:val="6CB60ACE"/>
    <w:rsid w:val="6CF94851"/>
    <w:rsid w:val="6D3C221B"/>
    <w:rsid w:val="6D7ECAAD"/>
    <w:rsid w:val="6DE7CE4B"/>
    <w:rsid w:val="6DF565CB"/>
    <w:rsid w:val="6DFED50D"/>
    <w:rsid w:val="6E453429"/>
    <w:rsid w:val="6E5A7A01"/>
    <w:rsid w:val="6EFFB660"/>
    <w:rsid w:val="6F294684"/>
    <w:rsid w:val="6F6F8BEC"/>
    <w:rsid w:val="6FA71920"/>
    <w:rsid w:val="6FA9BF99"/>
    <w:rsid w:val="6FEF0952"/>
    <w:rsid w:val="6FF7860B"/>
    <w:rsid w:val="6FF7992D"/>
    <w:rsid w:val="6FFF247A"/>
    <w:rsid w:val="70611F6D"/>
    <w:rsid w:val="714675D6"/>
    <w:rsid w:val="715F666C"/>
    <w:rsid w:val="7167914E"/>
    <w:rsid w:val="7177133C"/>
    <w:rsid w:val="71CB4D56"/>
    <w:rsid w:val="71CD44E8"/>
    <w:rsid w:val="71EA0DE7"/>
    <w:rsid w:val="72166513"/>
    <w:rsid w:val="72606A84"/>
    <w:rsid w:val="72BB6DAD"/>
    <w:rsid w:val="72C305F0"/>
    <w:rsid w:val="7314021C"/>
    <w:rsid w:val="73221EA9"/>
    <w:rsid w:val="733A4EA6"/>
    <w:rsid w:val="737C9016"/>
    <w:rsid w:val="73A579AE"/>
    <w:rsid w:val="73B42CFD"/>
    <w:rsid w:val="73BDD73B"/>
    <w:rsid w:val="73C34AAB"/>
    <w:rsid w:val="73CFFE02"/>
    <w:rsid w:val="73FF6DDB"/>
    <w:rsid w:val="740B41CC"/>
    <w:rsid w:val="74B310ED"/>
    <w:rsid w:val="74C86784"/>
    <w:rsid w:val="74C96B93"/>
    <w:rsid w:val="74D1261A"/>
    <w:rsid w:val="754C32EF"/>
    <w:rsid w:val="75616B80"/>
    <w:rsid w:val="758B6266"/>
    <w:rsid w:val="75BF1117"/>
    <w:rsid w:val="75BFF44D"/>
    <w:rsid w:val="75F93477"/>
    <w:rsid w:val="761A6DB5"/>
    <w:rsid w:val="7670288E"/>
    <w:rsid w:val="767F5CD0"/>
    <w:rsid w:val="76A63494"/>
    <w:rsid w:val="76DA085C"/>
    <w:rsid w:val="76FC257D"/>
    <w:rsid w:val="770C1377"/>
    <w:rsid w:val="775EF835"/>
    <w:rsid w:val="776F4ECF"/>
    <w:rsid w:val="7779BE38"/>
    <w:rsid w:val="777F12DD"/>
    <w:rsid w:val="77D38755"/>
    <w:rsid w:val="77DC18A8"/>
    <w:rsid w:val="77EB6883"/>
    <w:rsid w:val="77F75118"/>
    <w:rsid w:val="77FA470C"/>
    <w:rsid w:val="77FEC560"/>
    <w:rsid w:val="781F6771"/>
    <w:rsid w:val="78255199"/>
    <w:rsid w:val="786700B7"/>
    <w:rsid w:val="786B0AB7"/>
    <w:rsid w:val="78733EB0"/>
    <w:rsid w:val="788C3F57"/>
    <w:rsid w:val="78921B99"/>
    <w:rsid w:val="78BFEC86"/>
    <w:rsid w:val="791B3704"/>
    <w:rsid w:val="791E388B"/>
    <w:rsid w:val="79594C61"/>
    <w:rsid w:val="795D00B8"/>
    <w:rsid w:val="796B643A"/>
    <w:rsid w:val="797F92FA"/>
    <w:rsid w:val="798D76BC"/>
    <w:rsid w:val="79E00940"/>
    <w:rsid w:val="79E87DBE"/>
    <w:rsid w:val="79F9DA57"/>
    <w:rsid w:val="7A1C6403"/>
    <w:rsid w:val="7A7988CF"/>
    <w:rsid w:val="7A8A2F5E"/>
    <w:rsid w:val="7AAE7A61"/>
    <w:rsid w:val="7AB811A1"/>
    <w:rsid w:val="7AC95D67"/>
    <w:rsid w:val="7AE72BEC"/>
    <w:rsid w:val="7AF34313"/>
    <w:rsid w:val="7AF5498E"/>
    <w:rsid w:val="7AF76CC1"/>
    <w:rsid w:val="7B424F78"/>
    <w:rsid w:val="7B5BAF94"/>
    <w:rsid w:val="7B762783"/>
    <w:rsid w:val="7BCE2005"/>
    <w:rsid w:val="7BD587CA"/>
    <w:rsid w:val="7BDF6CE4"/>
    <w:rsid w:val="7BEA2C24"/>
    <w:rsid w:val="7BF5B145"/>
    <w:rsid w:val="7BF97A4A"/>
    <w:rsid w:val="7BFB630F"/>
    <w:rsid w:val="7BFF0BDB"/>
    <w:rsid w:val="7BFF47BD"/>
    <w:rsid w:val="7C1E72C4"/>
    <w:rsid w:val="7C5B42CF"/>
    <w:rsid w:val="7C5C2F75"/>
    <w:rsid w:val="7CF4E9C8"/>
    <w:rsid w:val="7D5176F5"/>
    <w:rsid w:val="7D824051"/>
    <w:rsid w:val="7D9667B8"/>
    <w:rsid w:val="7D9D3854"/>
    <w:rsid w:val="7DB3162D"/>
    <w:rsid w:val="7DBE7D6B"/>
    <w:rsid w:val="7DBF71B5"/>
    <w:rsid w:val="7DBF7645"/>
    <w:rsid w:val="7DE46888"/>
    <w:rsid w:val="7DFA1D19"/>
    <w:rsid w:val="7DFB2714"/>
    <w:rsid w:val="7E2B5206"/>
    <w:rsid w:val="7E341237"/>
    <w:rsid w:val="7E694F12"/>
    <w:rsid w:val="7E9B601A"/>
    <w:rsid w:val="7E9E710D"/>
    <w:rsid w:val="7EB5E7B0"/>
    <w:rsid w:val="7EBFF3D7"/>
    <w:rsid w:val="7EE24A62"/>
    <w:rsid w:val="7EED353C"/>
    <w:rsid w:val="7EFF31A0"/>
    <w:rsid w:val="7F3BA972"/>
    <w:rsid w:val="7F4DD6AD"/>
    <w:rsid w:val="7F565496"/>
    <w:rsid w:val="7F6D63DB"/>
    <w:rsid w:val="7F71A189"/>
    <w:rsid w:val="7F759C5B"/>
    <w:rsid w:val="7F7B572D"/>
    <w:rsid w:val="7F7BDD0F"/>
    <w:rsid w:val="7F7E0EE6"/>
    <w:rsid w:val="7F9D4FA1"/>
    <w:rsid w:val="7FAB3839"/>
    <w:rsid w:val="7FAB3D96"/>
    <w:rsid w:val="7FAFFCE2"/>
    <w:rsid w:val="7FB64187"/>
    <w:rsid w:val="7FBA455F"/>
    <w:rsid w:val="7FBEBD3B"/>
    <w:rsid w:val="7FBF1EB0"/>
    <w:rsid w:val="7FCF42A1"/>
    <w:rsid w:val="7FCF5FC9"/>
    <w:rsid w:val="7FD58920"/>
    <w:rsid w:val="7FDF3874"/>
    <w:rsid w:val="7FE7E89E"/>
    <w:rsid w:val="7FEEB066"/>
    <w:rsid w:val="7FEF5B90"/>
    <w:rsid w:val="7FF7EBBA"/>
    <w:rsid w:val="7FF9BFD1"/>
    <w:rsid w:val="7FFA3120"/>
    <w:rsid w:val="7FFB1E89"/>
    <w:rsid w:val="7FFDD19D"/>
    <w:rsid w:val="7FFF6D36"/>
    <w:rsid w:val="7FFF93C9"/>
    <w:rsid w:val="84EFBA69"/>
    <w:rsid w:val="87F11C36"/>
    <w:rsid w:val="8AEF76BF"/>
    <w:rsid w:val="8B57D699"/>
    <w:rsid w:val="8BFFC82F"/>
    <w:rsid w:val="8CEFDA45"/>
    <w:rsid w:val="8DD4566B"/>
    <w:rsid w:val="92FA315A"/>
    <w:rsid w:val="937B6F8D"/>
    <w:rsid w:val="95FAE282"/>
    <w:rsid w:val="96F60ECB"/>
    <w:rsid w:val="9AFB791E"/>
    <w:rsid w:val="9D7E851D"/>
    <w:rsid w:val="9EB31FE7"/>
    <w:rsid w:val="9EF39A63"/>
    <w:rsid w:val="9F2F0417"/>
    <w:rsid w:val="9F7D7693"/>
    <w:rsid w:val="9FF3D805"/>
    <w:rsid w:val="A7794EE5"/>
    <w:rsid w:val="A7BE59F9"/>
    <w:rsid w:val="AB91D909"/>
    <w:rsid w:val="ABFE4FD6"/>
    <w:rsid w:val="ADDBF4A8"/>
    <w:rsid w:val="B2E50FF9"/>
    <w:rsid w:val="B2F4132A"/>
    <w:rsid w:val="B6FE6A5A"/>
    <w:rsid w:val="B77F763B"/>
    <w:rsid w:val="B77F8FEA"/>
    <w:rsid w:val="B77FFBBF"/>
    <w:rsid w:val="B7FFED75"/>
    <w:rsid w:val="B95B8AC3"/>
    <w:rsid w:val="B9AFDCF4"/>
    <w:rsid w:val="BBB713F8"/>
    <w:rsid w:val="BBDE0A00"/>
    <w:rsid w:val="BBE89E9D"/>
    <w:rsid w:val="BBF6860C"/>
    <w:rsid w:val="BBFFA7EF"/>
    <w:rsid w:val="BD67CC89"/>
    <w:rsid w:val="BDBF4B1D"/>
    <w:rsid w:val="BDF6C8D8"/>
    <w:rsid w:val="BDFDF24F"/>
    <w:rsid w:val="BE9AA65E"/>
    <w:rsid w:val="BEBF7AAF"/>
    <w:rsid w:val="BF724B80"/>
    <w:rsid w:val="BF769558"/>
    <w:rsid w:val="BF7F0AF0"/>
    <w:rsid w:val="BF962978"/>
    <w:rsid w:val="BFB68485"/>
    <w:rsid w:val="BFBE1C76"/>
    <w:rsid w:val="BFC8FBC7"/>
    <w:rsid w:val="BFF16AF4"/>
    <w:rsid w:val="BFF3429E"/>
    <w:rsid w:val="BFFB5F82"/>
    <w:rsid w:val="BFFD6490"/>
    <w:rsid w:val="BFFF8812"/>
    <w:rsid w:val="C57F19DA"/>
    <w:rsid w:val="C6C7844C"/>
    <w:rsid w:val="C8FF2700"/>
    <w:rsid w:val="CB3F1175"/>
    <w:rsid w:val="CCEAF677"/>
    <w:rsid w:val="CDB3AD1F"/>
    <w:rsid w:val="CFBD5B7F"/>
    <w:rsid w:val="CFEF5BAB"/>
    <w:rsid w:val="D07F2DF6"/>
    <w:rsid w:val="D29FAE75"/>
    <w:rsid w:val="D5D382EE"/>
    <w:rsid w:val="D6F90AFD"/>
    <w:rsid w:val="D7BF231F"/>
    <w:rsid w:val="D7DEC0DD"/>
    <w:rsid w:val="D7DF7C12"/>
    <w:rsid w:val="D7FD0F89"/>
    <w:rsid w:val="DAFDF0E0"/>
    <w:rsid w:val="DB7ED6CB"/>
    <w:rsid w:val="DBED9BDA"/>
    <w:rsid w:val="DD314086"/>
    <w:rsid w:val="DD7F0086"/>
    <w:rsid w:val="DDCD6140"/>
    <w:rsid w:val="DDED440F"/>
    <w:rsid w:val="DDF74E82"/>
    <w:rsid w:val="DEBD2D84"/>
    <w:rsid w:val="DEE7B509"/>
    <w:rsid w:val="DEFF1367"/>
    <w:rsid w:val="DF5750D5"/>
    <w:rsid w:val="DF5B7A9D"/>
    <w:rsid w:val="DF9F1424"/>
    <w:rsid w:val="DFDF685B"/>
    <w:rsid w:val="DFEF6434"/>
    <w:rsid w:val="DFF88CD7"/>
    <w:rsid w:val="DFFAAECC"/>
    <w:rsid w:val="DFFB3215"/>
    <w:rsid w:val="DFFB8B7A"/>
    <w:rsid w:val="DFFF15F0"/>
    <w:rsid w:val="DFFF3E58"/>
    <w:rsid w:val="E7B4310E"/>
    <w:rsid w:val="E7D2B630"/>
    <w:rsid w:val="E7DBF087"/>
    <w:rsid w:val="E7F77AFC"/>
    <w:rsid w:val="E7FC56C5"/>
    <w:rsid w:val="E7FF6F89"/>
    <w:rsid w:val="E97B7166"/>
    <w:rsid w:val="EAB1C343"/>
    <w:rsid w:val="EBD7E3F0"/>
    <w:rsid w:val="EBDFC361"/>
    <w:rsid w:val="EC9F5989"/>
    <w:rsid w:val="ECCF85EC"/>
    <w:rsid w:val="EEDF0300"/>
    <w:rsid w:val="EF7FD19E"/>
    <w:rsid w:val="EFAD1FF4"/>
    <w:rsid w:val="EFB437D5"/>
    <w:rsid w:val="EFC73F7C"/>
    <w:rsid w:val="EFCE6DD2"/>
    <w:rsid w:val="EFE75DF5"/>
    <w:rsid w:val="EFEFAA88"/>
    <w:rsid w:val="EFEFFD5E"/>
    <w:rsid w:val="EFF143F9"/>
    <w:rsid w:val="EFF72413"/>
    <w:rsid w:val="EFF7FA2D"/>
    <w:rsid w:val="EFF938A8"/>
    <w:rsid w:val="EFFBA383"/>
    <w:rsid w:val="F1AD6C41"/>
    <w:rsid w:val="F27C5B8C"/>
    <w:rsid w:val="F2F61215"/>
    <w:rsid w:val="F3BE4C61"/>
    <w:rsid w:val="F3DF75B3"/>
    <w:rsid w:val="F53E91DF"/>
    <w:rsid w:val="F53F3753"/>
    <w:rsid w:val="F56F15A7"/>
    <w:rsid w:val="F57FFADB"/>
    <w:rsid w:val="F5FDA7D9"/>
    <w:rsid w:val="F6FC0824"/>
    <w:rsid w:val="F767FBB1"/>
    <w:rsid w:val="F77E30C4"/>
    <w:rsid w:val="F7BAED10"/>
    <w:rsid w:val="F7D79C11"/>
    <w:rsid w:val="F7DF87A2"/>
    <w:rsid w:val="F7DFBB3C"/>
    <w:rsid w:val="F7EB09F8"/>
    <w:rsid w:val="F7F5FE29"/>
    <w:rsid w:val="F7FE2C09"/>
    <w:rsid w:val="F7FF9315"/>
    <w:rsid w:val="F90F8F7C"/>
    <w:rsid w:val="F97FDD2B"/>
    <w:rsid w:val="F9AB903F"/>
    <w:rsid w:val="F9BFAF22"/>
    <w:rsid w:val="F9F32820"/>
    <w:rsid w:val="F9FB6609"/>
    <w:rsid w:val="F9FF4599"/>
    <w:rsid w:val="FA6F5E89"/>
    <w:rsid w:val="FABC319B"/>
    <w:rsid w:val="FAFFA69D"/>
    <w:rsid w:val="FB56B0C2"/>
    <w:rsid w:val="FB81453C"/>
    <w:rsid w:val="FB96F91F"/>
    <w:rsid w:val="FBB36CAF"/>
    <w:rsid w:val="FD3785CC"/>
    <w:rsid w:val="FD7B0087"/>
    <w:rsid w:val="FDBD2CFA"/>
    <w:rsid w:val="FDBF4BC4"/>
    <w:rsid w:val="FDDF2402"/>
    <w:rsid w:val="FDF6A749"/>
    <w:rsid w:val="FDFD23B3"/>
    <w:rsid w:val="FE4D6CDE"/>
    <w:rsid w:val="FE62708A"/>
    <w:rsid w:val="FE8FD1F9"/>
    <w:rsid w:val="FEB10F91"/>
    <w:rsid w:val="FECDD73C"/>
    <w:rsid w:val="FEDD5D85"/>
    <w:rsid w:val="FEEE2160"/>
    <w:rsid w:val="FEEF0B76"/>
    <w:rsid w:val="FEF573FA"/>
    <w:rsid w:val="FEF7226B"/>
    <w:rsid w:val="FEF97E2C"/>
    <w:rsid w:val="FF4363BD"/>
    <w:rsid w:val="FF6A1EAC"/>
    <w:rsid w:val="FF795FD4"/>
    <w:rsid w:val="FF7BCA5A"/>
    <w:rsid w:val="FF7FA287"/>
    <w:rsid w:val="FF7FFAB1"/>
    <w:rsid w:val="FF9E5115"/>
    <w:rsid w:val="FFAF1D2E"/>
    <w:rsid w:val="FFB4DABA"/>
    <w:rsid w:val="FFBF9976"/>
    <w:rsid w:val="FFD5D403"/>
    <w:rsid w:val="FFD65B47"/>
    <w:rsid w:val="FFD7658D"/>
    <w:rsid w:val="FFDB4044"/>
    <w:rsid w:val="FFDF00DE"/>
    <w:rsid w:val="FFDF3120"/>
    <w:rsid w:val="FFDF4D62"/>
    <w:rsid w:val="FFDF8C57"/>
    <w:rsid w:val="FFE7DECB"/>
    <w:rsid w:val="FFE8271B"/>
    <w:rsid w:val="FFEB05CE"/>
    <w:rsid w:val="FFEE8F39"/>
    <w:rsid w:val="FFEFE519"/>
    <w:rsid w:val="FFF3430A"/>
    <w:rsid w:val="FFF5AF3A"/>
    <w:rsid w:val="FFF6915B"/>
    <w:rsid w:val="FFFD9234"/>
    <w:rsid w:val="FFFF01CB"/>
    <w:rsid w:val="FFFF7066"/>
    <w:rsid w:val="FFFFC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仿宋_GB2312" w:cs="Times New Roman"/>
      <w:snapToGrid w:val="0"/>
      <w:kern w:val="32"/>
      <w:sz w:val="32"/>
      <w:szCs w:val="32"/>
      <w:lang w:val="en-US" w:eastAsia="zh-CN" w:bidi="ar-SA"/>
    </w:rPr>
  </w:style>
  <w:style w:type="paragraph" w:styleId="4">
    <w:name w:val="heading 1"/>
    <w:basedOn w:val="1"/>
    <w:next w:val="1"/>
    <w:qFormat/>
    <w:uiPriority w:val="0"/>
    <w:pPr>
      <w:jc w:val="left"/>
      <w:outlineLvl w:val="0"/>
    </w:pPr>
    <w:rPr>
      <w:rFonts w:ascii="黑体" w:eastAsia="黑体"/>
      <w:bCs/>
    </w:rPr>
  </w:style>
  <w:style w:type="paragraph" w:styleId="5">
    <w:name w:val="heading 2"/>
    <w:basedOn w:val="1"/>
    <w:next w:val="1"/>
    <w:qFormat/>
    <w:uiPriority w:val="0"/>
    <w:pPr>
      <w:outlineLvl w:val="1"/>
    </w:pPr>
    <w:rPr>
      <w:b/>
      <w:bCs/>
    </w:rPr>
  </w:style>
  <w:style w:type="paragraph" w:styleId="6">
    <w:name w:val="heading 3"/>
    <w:basedOn w:val="1"/>
    <w:next w:val="1"/>
    <w:qFormat/>
    <w:uiPriority w:val="0"/>
    <w:pPr>
      <w:adjustRightInd w:val="0"/>
      <w:snapToGrid w:val="0"/>
      <w:spacing w:line="336" w:lineRule="auto"/>
      <w:ind w:firstLine="200" w:firstLineChars="200"/>
      <w:outlineLvl w:val="2"/>
    </w:pPr>
    <w:rPr>
      <w:rFonts w:eastAsia="楷体_GB2312"/>
      <w:bCs/>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23"/>
    <w:qFormat/>
    <w:uiPriority w:val="0"/>
    <w:pPr>
      <w:spacing w:after="120"/>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8">
    <w:name w:val="Normal Indent"/>
    <w:basedOn w:val="1"/>
    <w:qFormat/>
    <w:uiPriority w:val="99"/>
    <w:pPr>
      <w:ind w:firstLine="420" w:firstLineChars="200"/>
    </w:pPr>
  </w:style>
  <w:style w:type="paragraph" w:styleId="9">
    <w:name w:val="caption"/>
    <w:basedOn w:val="1"/>
    <w:next w:val="1"/>
    <w:unhideWhenUsed/>
    <w:qFormat/>
    <w:uiPriority w:val="35"/>
    <w:rPr>
      <w:rFonts w:ascii="Cambria" w:hAnsi="Cambria" w:eastAsia="黑体"/>
      <w:snapToGrid/>
      <w:kern w:val="2"/>
      <w:sz w:val="20"/>
      <w:szCs w:val="20"/>
    </w:rPr>
  </w:style>
  <w:style w:type="paragraph" w:styleId="10">
    <w:name w:val="Document Map"/>
    <w:basedOn w:val="1"/>
    <w:qFormat/>
    <w:uiPriority w:val="0"/>
    <w:pPr>
      <w:shd w:val="clear" w:color="auto" w:fill="000080"/>
    </w:pPr>
  </w:style>
  <w:style w:type="paragraph" w:styleId="11">
    <w:name w:val="annotation text"/>
    <w:basedOn w:val="1"/>
    <w:link w:val="115"/>
    <w:qFormat/>
    <w:uiPriority w:val="0"/>
    <w:pPr>
      <w:jc w:val="left"/>
    </w:pPr>
    <w:rPr>
      <w:rFonts w:ascii="Times New Roman" w:hAnsi="Times New Roman" w:eastAsia="宋体"/>
      <w:snapToGrid/>
      <w:kern w:val="2"/>
      <w:sz w:val="21"/>
      <w:szCs w:val="20"/>
    </w:rPr>
  </w:style>
  <w:style w:type="paragraph" w:styleId="12">
    <w:name w:val="Body Text Indent"/>
    <w:basedOn w:val="1"/>
    <w:link w:val="42"/>
    <w:qFormat/>
    <w:uiPriority w:val="0"/>
    <w:pPr>
      <w:ind w:left="570" w:hanging="30"/>
    </w:pPr>
    <w:rPr>
      <w:rFonts w:ascii="Times New Roman" w:hAnsi="Times New Roman" w:eastAsia="宋体"/>
      <w:snapToGrid/>
      <w:kern w:val="2"/>
      <w:sz w:val="28"/>
      <w:szCs w:val="20"/>
    </w:rPr>
  </w:style>
  <w:style w:type="paragraph" w:styleId="13">
    <w:name w:val="Block Text"/>
    <w:basedOn w:val="1"/>
    <w:qFormat/>
    <w:uiPriority w:val="0"/>
    <w:pPr>
      <w:ind w:left="-718" w:leftChars="-342" w:right="-512" w:rightChars="-244"/>
      <w:jc w:val="center"/>
    </w:pPr>
    <w:rPr>
      <w:rFonts w:ascii="仿宋_GB2312"/>
      <w:snapToGrid/>
      <w:kern w:val="2"/>
      <w:sz w:val="44"/>
    </w:rPr>
  </w:style>
  <w:style w:type="paragraph" w:styleId="14">
    <w:name w:val="toc 3"/>
    <w:basedOn w:val="1"/>
    <w:next w:val="1"/>
    <w:unhideWhenUsed/>
    <w:qFormat/>
    <w:uiPriority w:val="39"/>
    <w:pPr>
      <w:widowControl/>
      <w:spacing w:after="100" w:line="276" w:lineRule="auto"/>
      <w:ind w:left="440"/>
      <w:jc w:val="left"/>
    </w:pPr>
    <w:rPr>
      <w:rFonts w:ascii="Calibri" w:hAnsi="Calibri" w:eastAsia="宋体"/>
      <w:snapToGrid/>
      <w:kern w:val="0"/>
      <w:sz w:val="22"/>
      <w:szCs w:val="22"/>
    </w:rPr>
  </w:style>
  <w:style w:type="paragraph" w:styleId="15">
    <w:name w:val="Plain Text"/>
    <w:basedOn w:val="1"/>
    <w:link w:val="43"/>
    <w:qFormat/>
    <w:uiPriority w:val="0"/>
    <w:rPr>
      <w:rFonts w:hAnsi="Courier New" w:eastAsia="宋体" w:cs="Courier New"/>
      <w:kern w:val="2"/>
      <w:sz w:val="21"/>
      <w:szCs w:val="21"/>
    </w:rPr>
  </w:style>
  <w:style w:type="paragraph" w:styleId="16">
    <w:name w:val="Date"/>
    <w:basedOn w:val="1"/>
    <w:next w:val="1"/>
    <w:link w:val="44"/>
    <w:qFormat/>
    <w:uiPriority w:val="0"/>
    <w:pPr>
      <w:ind w:left="100" w:leftChars="2500"/>
    </w:pPr>
  </w:style>
  <w:style w:type="paragraph" w:styleId="17">
    <w:name w:val="Body Text Indent 2"/>
    <w:basedOn w:val="1"/>
    <w:qFormat/>
    <w:uiPriority w:val="0"/>
    <w:pPr>
      <w:spacing w:after="120" w:line="480" w:lineRule="auto"/>
      <w:ind w:left="420" w:leftChars="200"/>
    </w:pPr>
    <w:rPr>
      <w:rFonts w:ascii="Times New Roman" w:hAnsi="Times New Roman"/>
      <w:snapToGrid/>
      <w:kern w:val="2"/>
      <w:szCs w:val="24"/>
    </w:rPr>
  </w:style>
  <w:style w:type="paragraph" w:styleId="18">
    <w:name w:val="Balloon Text"/>
    <w:basedOn w:val="1"/>
    <w:qFormat/>
    <w:uiPriority w:val="0"/>
    <w:rPr>
      <w:sz w:val="18"/>
      <w:szCs w:val="18"/>
    </w:rPr>
  </w:style>
  <w:style w:type="paragraph" w:styleId="19">
    <w:name w:val="footer"/>
    <w:basedOn w:val="1"/>
    <w:next w:val="1"/>
    <w:link w:val="45"/>
    <w:qFormat/>
    <w:uiPriority w:val="0"/>
    <w:pPr>
      <w:tabs>
        <w:tab w:val="center" w:pos="4153"/>
        <w:tab w:val="right" w:pos="8306"/>
      </w:tabs>
      <w:snapToGrid w:val="0"/>
      <w:jc w:val="left"/>
    </w:pPr>
    <w:rPr>
      <w:sz w:val="18"/>
      <w:szCs w:val="18"/>
    </w:rPr>
  </w:style>
  <w:style w:type="paragraph" w:styleId="20">
    <w:name w:val="envelope return"/>
    <w:basedOn w:val="1"/>
    <w:qFormat/>
    <w:uiPriority w:val="0"/>
    <w:pPr>
      <w:widowControl/>
      <w:jc w:val="left"/>
    </w:pPr>
    <w:rPr>
      <w:rFonts w:ascii="Garamond" w:hAnsi="Garamond" w:eastAsia="宋体"/>
      <w:snapToGrid/>
      <w:kern w:val="0"/>
      <w:sz w:val="24"/>
      <w:szCs w:val="20"/>
      <w:lang w:val="fr-CH" w:eastAsia="en-US"/>
    </w:rPr>
  </w:style>
  <w:style w:type="paragraph" w:styleId="21">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qFormat/>
    <w:uiPriority w:val="39"/>
    <w:pPr>
      <w:tabs>
        <w:tab w:val="right" w:leader="dot" w:pos="8630"/>
      </w:tabs>
      <w:jc w:val="center"/>
    </w:pPr>
    <w:rPr>
      <w:rFonts w:ascii="华文楷体" w:hAnsi="华文楷体" w:eastAsia="华文楷体"/>
      <w:b/>
      <w:snapToGrid/>
      <w:kern w:val="2"/>
      <w:sz w:val="36"/>
    </w:rPr>
  </w:style>
  <w:style w:type="paragraph" w:styleId="23">
    <w:name w:val="List"/>
    <w:basedOn w:val="2"/>
    <w:qFormat/>
    <w:uiPriority w:val="0"/>
    <w:pPr>
      <w:suppressAutoHyphens/>
      <w:spacing w:after="0" w:line="0" w:lineRule="atLeast"/>
      <w:jc w:val="center"/>
    </w:pPr>
    <w:rPr>
      <w:rFonts w:ascii="方正小标宋简体" w:hAnsi="方正小标宋简体" w:eastAsia="方正小标宋简体"/>
      <w:snapToGrid/>
      <w:kern w:val="1"/>
      <w:sz w:val="44"/>
      <w:szCs w:val="24"/>
    </w:rPr>
  </w:style>
  <w:style w:type="paragraph" w:styleId="24">
    <w:name w:val="footnote text"/>
    <w:basedOn w:val="1"/>
    <w:qFormat/>
    <w:uiPriority w:val="99"/>
    <w:pPr>
      <w:snapToGrid w:val="0"/>
      <w:jc w:val="left"/>
    </w:pPr>
    <w:rPr>
      <w:sz w:val="18"/>
    </w:r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unhideWhenUsed/>
    <w:qFormat/>
    <w:uiPriority w:val="39"/>
    <w:pPr>
      <w:ind w:left="420" w:leftChars="200"/>
    </w:pPr>
    <w:rPr>
      <w:rFonts w:ascii="Calibri" w:hAnsi="Calibri" w:eastAsia="宋体"/>
      <w:snapToGrid/>
      <w:kern w:val="2"/>
      <w:sz w:val="21"/>
      <w:szCs w:val="22"/>
    </w:rPr>
  </w:style>
  <w:style w:type="paragraph" w:styleId="27">
    <w:name w:val="Body Text 2"/>
    <w:basedOn w:val="1"/>
    <w:qFormat/>
    <w:uiPriority w:val="0"/>
    <w:pPr>
      <w:spacing w:after="120" w:line="480" w:lineRule="auto"/>
    </w:pPr>
    <w:rPr>
      <w:rFonts w:ascii="Times New Roman" w:hAnsi="Times New Roman" w:eastAsia="宋体"/>
      <w:snapToGrid/>
      <w:kern w:val="2"/>
      <w:sz w:val="21"/>
      <w:szCs w:val="24"/>
    </w:rPr>
  </w:style>
  <w:style w:type="paragraph" w:styleId="28">
    <w:name w:val="HTML Preformatted"/>
    <w:basedOn w:val="1"/>
    <w:link w:val="4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eastAsia="宋体"/>
      <w:snapToGrid/>
      <w:kern w:val="0"/>
      <w:sz w:val="24"/>
      <w:szCs w:val="24"/>
    </w:rPr>
  </w:style>
  <w:style w:type="paragraph" w:styleId="29">
    <w:name w:val="Normal (Web)"/>
    <w:basedOn w:val="1"/>
    <w:qFormat/>
    <w:uiPriority w:val="0"/>
    <w:pPr>
      <w:widowControl/>
      <w:spacing w:before="100" w:beforeAutospacing="1"/>
      <w:jc w:val="center"/>
    </w:pPr>
    <w:rPr>
      <w:rFonts w:eastAsia="宋体"/>
      <w:snapToGrid/>
      <w:kern w:val="0"/>
      <w:sz w:val="24"/>
      <w:szCs w:val="24"/>
    </w:rPr>
  </w:style>
  <w:style w:type="paragraph" w:styleId="30">
    <w:name w:val="Title"/>
    <w:basedOn w:val="1"/>
    <w:link w:val="48"/>
    <w:qFormat/>
    <w:uiPriority w:val="0"/>
    <w:pPr>
      <w:spacing w:line="216" w:lineRule="auto"/>
      <w:jc w:val="center"/>
      <w:outlineLvl w:val="0"/>
    </w:pPr>
    <w:rPr>
      <w:rFonts w:ascii="方正小标宋简体" w:hAnsi="Arial" w:eastAsia="方正小标宋简体" w:cs="Arial"/>
      <w:bCs/>
      <w:kern w:val="44"/>
      <w:sz w:val="44"/>
      <w:szCs w:val="44"/>
    </w:rPr>
  </w:style>
  <w:style w:type="paragraph" w:styleId="31">
    <w:name w:val="annotation subject"/>
    <w:basedOn w:val="11"/>
    <w:next w:val="11"/>
    <w:link w:val="116"/>
    <w:qFormat/>
    <w:uiPriority w:val="0"/>
    <w:rPr>
      <w:rFonts w:ascii="宋体" w:hAnsi="宋体" w:eastAsia="仿宋_GB2312"/>
      <w:b/>
      <w:bCs/>
      <w:snapToGrid w:val="0"/>
      <w:kern w:val="32"/>
      <w:sz w:val="32"/>
      <w:szCs w:val="32"/>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bCs/>
    </w:rPr>
  </w:style>
  <w:style w:type="character" w:styleId="36">
    <w:name w:val="page number"/>
    <w:basedOn w:val="34"/>
    <w:qFormat/>
    <w:uiPriority w:val="0"/>
  </w:style>
  <w:style w:type="character" w:styleId="37">
    <w:name w:val="FollowedHyperlink"/>
    <w:basedOn w:val="34"/>
    <w:qFormat/>
    <w:uiPriority w:val="0"/>
    <w:rPr>
      <w:color w:val="800080"/>
      <w:u w:val="single"/>
    </w:rPr>
  </w:style>
  <w:style w:type="character" w:styleId="38">
    <w:name w:val="Hyperlink"/>
    <w:basedOn w:val="34"/>
    <w:qFormat/>
    <w:uiPriority w:val="0"/>
    <w:rPr>
      <w:color w:val="0000FF"/>
      <w:u w:val="single"/>
    </w:rPr>
  </w:style>
  <w:style w:type="character" w:styleId="39">
    <w:name w:val="annotation reference"/>
    <w:basedOn w:val="34"/>
    <w:qFormat/>
    <w:uiPriority w:val="0"/>
    <w:rPr>
      <w:sz w:val="21"/>
      <w:szCs w:val="21"/>
    </w:rPr>
  </w:style>
  <w:style w:type="character" w:styleId="40">
    <w:name w:val="footnote reference"/>
    <w:basedOn w:val="34"/>
    <w:qFormat/>
    <w:uiPriority w:val="99"/>
    <w:rPr>
      <w:vertAlign w:val="superscript"/>
    </w:rPr>
  </w:style>
  <w:style w:type="paragraph" w:customStyle="1" w:styleId="41">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42">
    <w:name w:val="正文文本缩进 字符"/>
    <w:basedOn w:val="34"/>
    <w:link w:val="12"/>
    <w:qFormat/>
    <w:uiPriority w:val="0"/>
    <w:rPr>
      <w:rFonts w:eastAsia="宋体"/>
      <w:kern w:val="2"/>
      <w:sz w:val="28"/>
      <w:lang w:val="en-US" w:eastAsia="zh-CN" w:bidi="ar-SA"/>
    </w:rPr>
  </w:style>
  <w:style w:type="character" w:customStyle="1" w:styleId="43">
    <w:name w:val="纯文本 字符"/>
    <w:basedOn w:val="34"/>
    <w:link w:val="15"/>
    <w:qFormat/>
    <w:uiPriority w:val="0"/>
    <w:rPr>
      <w:rFonts w:ascii="宋体" w:hAnsi="Courier New" w:eastAsia="宋体" w:cs="Courier New"/>
      <w:kern w:val="2"/>
      <w:sz w:val="21"/>
      <w:szCs w:val="21"/>
      <w:lang w:val="en-US" w:eastAsia="zh-CN" w:bidi="ar-SA"/>
    </w:rPr>
  </w:style>
  <w:style w:type="character" w:customStyle="1" w:styleId="44">
    <w:name w:val="日期 字符"/>
    <w:basedOn w:val="34"/>
    <w:link w:val="16"/>
    <w:semiHidden/>
    <w:qFormat/>
    <w:locked/>
    <w:uiPriority w:val="0"/>
    <w:rPr>
      <w:rFonts w:ascii="宋体" w:hAnsi="宋体" w:eastAsia="仿宋_GB2312"/>
      <w:snapToGrid w:val="0"/>
      <w:kern w:val="32"/>
      <w:sz w:val="32"/>
      <w:szCs w:val="32"/>
      <w:lang w:val="en-US" w:eastAsia="zh-CN" w:bidi="ar-SA"/>
    </w:rPr>
  </w:style>
  <w:style w:type="character" w:customStyle="1" w:styleId="45">
    <w:name w:val="页脚 字符"/>
    <w:basedOn w:val="34"/>
    <w:link w:val="19"/>
    <w:semiHidden/>
    <w:qFormat/>
    <w:locked/>
    <w:uiPriority w:val="0"/>
    <w:rPr>
      <w:rFonts w:ascii="宋体" w:hAnsi="宋体" w:eastAsia="仿宋_GB2312"/>
      <w:snapToGrid w:val="0"/>
      <w:kern w:val="32"/>
      <w:sz w:val="18"/>
      <w:szCs w:val="18"/>
      <w:lang w:val="en-US" w:eastAsia="zh-CN" w:bidi="ar-SA"/>
    </w:rPr>
  </w:style>
  <w:style w:type="character" w:customStyle="1" w:styleId="46">
    <w:name w:val="页眉 字符"/>
    <w:basedOn w:val="34"/>
    <w:link w:val="21"/>
    <w:semiHidden/>
    <w:qFormat/>
    <w:locked/>
    <w:uiPriority w:val="0"/>
    <w:rPr>
      <w:rFonts w:ascii="宋体" w:hAnsi="宋体" w:eastAsia="仿宋_GB2312"/>
      <w:snapToGrid w:val="0"/>
      <w:kern w:val="32"/>
      <w:sz w:val="18"/>
      <w:szCs w:val="18"/>
      <w:lang w:val="en-US" w:eastAsia="zh-CN" w:bidi="ar-SA"/>
    </w:rPr>
  </w:style>
  <w:style w:type="character" w:customStyle="1" w:styleId="47">
    <w:name w:val="HTML 预设格式 字符"/>
    <w:link w:val="28"/>
    <w:qFormat/>
    <w:locked/>
    <w:uiPriority w:val="0"/>
    <w:rPr>
      <w:rFonts w:ascii="宋体" w:hAnsi="宋体" w:eastAsia="宋体"/>
      <w:sz w:val="24"/>
      <w:szCs w:val="24"/>
      <w:lang w:val="en-US" w:eastAsia="zh-CN" w:bidi="ar-SA"/>
    </w:rPr>
  </w:style>
  <w:style w:type="character" w:customStyle="1" w:styleId="48">
    <w:name w:val="标题 字符"/>
    <w:basedOn w:val="34"/>
    <w:link w:val="30"/>
    <w:qFormat/>
    <w:locked/>
    <w:uiPriority w:val="0"/>
    <w:rPr>
      <w:rFonts w:ascii="方正小标宋简体" w:hAnsi="Arial" w:eastAsia="方正小标宋简体" w:cs="Arial"/>
      <w:bCs/>
      <w:snapToGrid w:val="0"/>
      <w:kern w:val="44"/>
      <w:sz w:val="44"/>
      <w:szCs w:val="44"/>
      <w:lang w:val="en-US" w:eastAsia="zh-CN" w:bidi="ar-SA"/>
    </w:rPr>
  </w:style>
  <w:style w:type="character" w:customStyle="1" w:styleId="49">
    <w:name w:val="heise_12c"/>
    <w:basedOn w:val="34"/>
    <w:qFormat/>
    <w:uiPriority w:val="0"/>
  </w:style>
  <w:style w:type="character" w:customStyle="1" w:styleId="50">
    <w:name w:val="content1"/>
    <w:basedOn w:val="34"/>
    <w:qFormat/>
    <w:uiPriority w:val="0"/>
    <w:rPr>
      <w:sz w:val="21"/>
      <w:szCs w:val="21"/>
    </w:rPr>
  </w:style>
  <w:style w:type="character" w:customStyle="1" w:styleId="51">
    <w:name w:val="Plain Text Char"/>
    <w:basedOn w:val="34"/>
    <w:qFormat/>
    <w:uiPriority w:val="0"/>
    <w:rPr>
      <w:rFonts w:ascii="宋体" w:hAnsi="Courier New" w:eastAsia="宋体" w:cs="Courier New"/>
      <w:sz w:val="21"/>
      <w:szCs w:val="21"/>
    </w:rPr>
  </w:style>
  <w:style w:type="character" w:customStyle="1" w:styleId="52">
    <w:name w:val="apple-style-span"/>
    <w:basedOn w:val="34"/>
    <w:qFormat/>
    <w:uiPriority w:val="0"/>
  </w:style>
  <w:style w:type="character" w:customStyle="1" w:styleId="53">
    <w:name w:val="oalinshistyle21"/>
    <w:basedOn w:val="34"/>
    <w:qFormat/>
    <w:uiPriority w:val="0"/>
    <w:rPr>
      <w:rFonts w:hint="default" w:ascii="Arial" w:hAnsi="Arial" w:cs="Arial"/>
      <w:sz w:val="27"/>
      <w:szCs w:val="27"/>
    </w:rPr>
  </w:style>
  <w:style w:type="character" w:customStyle="1" w:styleId="54">
    <w:name w:val="bz_12"/>
    <w:basedOn w:val="34"/>
    <w:qFormat/>
    <w:uiPriority w:val="0"/>
  </w:style>
  <w:style w:type="character" w:customStyle="1" w:styleId="55">
    <w:name w:val="font1"/>
    <w:basedOn w:val="34"/>
    <w:qFormat/>
    <w:uiPriority w:val="0"/>
    <w:rPr>
      <w:sz w:val="18"/>
      <w:szCs w:val="18"/>
    </w:rPr>
  </w:style>
  <w:style w:type="character" w:customStyle="1" w:styleId="56">
    <w:name w:val="样式1 Char Char"/>
    <w:basedOn w:val="34"/>
    <w:link w:val="57"/>
    <w:qFormat/>
    <w:uiPriority w:val="0"/>
    <w:rPr>
      <w:rFonts w:ascii="方正小标宋简体" w:hAnsi="Calibri" w:eastAsia="方正小标宋简体"/>
      <w:kern w:val="2"/>
      <w:sz w:val="44"/>
      <w:szCs w:val="44"/>
      <w:lang w:val="en-US" w:eastAsia="zh-CN" w:bidi="ar-SA"/>
    </w:rPr>
  </w:style>
  <w:style w:type="paragraph" w:customStyle="1" w:styleId="57">
    <w:name w:val="样式1"/>
    <w:basedOn w:val="1"/>
    <w:link w:val="56"/>
    <w:qFormat/>
    <w:uiPriority w:val="0"/>
    <w:pPr>
      <w:jc w:val="center"/>
    </w:pPr>
    <w:rPr>
      <w:rFonts w:ascii="方正小标宋简体" w:hAnsi="Calibri" w:eastAsia="方正小标宋简体"/>
      <w:kern w:val="2"/>
      <w:sz w:val="44"/>
      <w:szCs w:val="44"/>
    </w:rPr>
  </w:style>
  <w:style w:type="paragraph" w:customStyle="1" w:styleId="58">
    <w:name w:val="List Paragraph1"/>
    <w:basedOn w:val="1"/>
    <w:qFormat/>
    <w:uiPriority w:val="0"/>
    <w:pPr>
      <w:ind w:firstLine="420" w:firstLineChars="200"/>
    </w:pPr>
    <w:rPr>
      <w:rFonts w:ascii="Calibri" w:hAnsi="Calibri" w:eastAsia="宋体" w:cs="Calibri"/>
      <w:snapToGrid/>
      <w:kern w:val="2"/>
      <w:sz w:val="21"/>
      <w:szCs w:val="21"/>
    </w:rPr>
  </w:style>
  <w:style w:type="paragraph" w:customStyle="1" w:styleId="59">
    <w:name w:val="Char1 Char Char Char"/>
    <w:basedOn w:val="1"/>
    <w:qFormat/>
    <w:uiPriority w:val="0"/>
  </w:style>
  <w:style w:type="paragraph" w:customStyle="1" w:styleId="6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1 Char Char Char1"/>
    <w:basedOn w:val="1"/>
    <w:qFormat/>
    <w:uiPriority w:val="0"/>
    <w:rPr>
      <w:rFonts w:ascii="Tahoma" w:hAnsi="Tahoma" w:eastAsia="宋体"/>
      <w:snapToGrid/>
      <w:kern w:val="2"/>
      <w:sz w:val="24"/>
      <w:szCs w:val="20"/>
    </w:rPr>
  </w:style>
  <w:style w:type="paragraph" w:customStyle="1" w:styleId="62">
    <w:name w:val="样式 正文缩进正文（首行缩进两字）正文（首行缩进两字） Char Char Char Char Char Char Char..."/>
    <w:basedOn w:val="8"/>
    <w:qFormat/>
    <w:uiPriority w:val="0"/>
    <w:pPr>
      <w:spacing w:line="312" w:lineRule="auto"/>
      <w:ind w:firstLine="539" w:firstLineChars="0"/>
    </w:pPr>
    <w:rPr>
      <w:rFonts w:ascii="Times New Roman" w:hAnsi="Times New Roman" w:eastAsia="宋体" w:cs="宋体"/>
      <w:snapToGrid/>
      <w:kern w:val="2"/>
      <w:sz w:val="28"/>
      <w:szCs w:val="20"/>
    </w:rPr>
  </w:style>
  <w:style w:type="paragraph" w:customStyle="1" w:styleId="6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snapToGrid/>
      <w:kern w:val="0"/>
      <w:sz w:val="24"/>
      <w:szCs w:val="20"/>
      <w:lang w:eastAsia="en-US"/>
    </w:rPr>
  </w:style>
  <w:style w:type="paragraph" w:customStyle="1" w:styleId="64">
    <w:name w:val="Char Char Char Char Char Char Char Char Char Char Char Char1 Char Char Char Char"/>
    <w:basedOn w:val="1"/>
    <w:qFormat/>
    <w:uiPriority w:val="0"/>
    <w:pPr>
      <w:tabs>
        <w:tab w:val="left" w:pos="432"/>
      </w:tabs>
      <w:spacing w:line="400" w:lineRule="exact"/>
      <w:ind w:left="432" w:hanging="432"/>
    </w:pPr>
    <w:rPr>
      <w:rFonts w:ascii="Times New Roman" w:hAnsi="Times New Roman" w:eastAsia="宋体"/>
      <w:snapToGrid/>
      <w:kern w:val="2"/>
      <w:sz w:val="21"/>
      <w:szCs w:val="20"/>
    </w:rPr>
  </w:style>
  <w:style w:type="paragraph" w:customStyle="1" w:styleId="65">
    <w:name w:val="规划正文"/>
    <w:basedOn w:val="1"/>
    <w:qFormat/>
    <w:uiPriority w:val="0"/>
    <w:pPr>
      <w:spacing w:after="156" w:afterLines="50" w:line="480" w:lineRule="exact"/>
      <w:ind w:firstLine="200" w:firstLineChars="200"/>
    </w:pPr>
    <w:rPr>
      <w:rFonts w:ascii="仿宋_GB2312" w:hAnsi="Times New Roman"/>
      <w:snapToGrid/>
      <w:kern w:val="2"/>
      <w:sz w:val="30"/>
      <w:szCs w:val="30"/>
    </w:rPr>
  </w:style>
  <w:style w:type="paragraph" w:customStyle="1" w:styleId="66">
    <w:name w:val="样式 三号 首行缩进:  1.13 厘米 行距: 多倍行距 1.25 字行"/>
    <w:basedOn w:val="1"/>
    <w:qFormat/>
    <w:uiPriority w:val="0"/>
    <w:pPr>
      <w:adjustRightInd w:val="0"/>
      <w:snapToGrid w:val="0"/>
      <w:spacing w:line="360" w:lineRule="auto"/>
      <w:ind w:firstLine="200" w:firstLineChars="200"/>
    </w:pPr>
    <w:rPr>
      <w:rFonts w:ascii="Times New Roman" w:hAnsi="Times New Roman"/>
      <w:snapToGrid/>
      <w:kern w:val="2"/>
    </w:rPr>
  </w:style>
  <w:style w:type="paragraph" w:customStyle="1" w:styleId="67">
    <w:name w:val="Char Char2 Char"/>
    <w:basedOn w:val="1"/>
    <w:qFormat/>
    <w:uiPriority w:val="0"/>
    <w:rPr>
      <w:rFonts w:eastAsia="宋体" w:cs="Courier New"/>
      <w:snapToGrid/>
      <w:kern w:val="2"/>
    </w:rPr>
  </w:style>
  <w:style w:type="paragraph" w:customStyle="1" w:styleId="68">
    <w:name w:val="封面副标题"/>
    <w:qFormat/>
    <w:uiPriority w:val="0"/>
    <w:pPr>
      <w:adjustRightInd w:val="0"/>
      <w:snapToGrid w:val="0"/>
      <w:spacing w:before="156" w:beforeLines="50" w:line="360" w:lineRule="auto"/>
      <w:jc w:val="center"/>
    </w:pPr>
    <w:rPr>
      <w:rFonts w:ascii="Times New Roman" w:hAnsi="Times New Roman" w:eastAsia="黑体" w:cs="Times New Roman"/>
      <w:b/>
      <w:snapToGrid w:val="0"/>
      <w:spacing w:val="20"/>
      <w:sz w:val="52"/>
      <w:lang w:val="en-US" w:eastAsia="zh-CN" w:bidi="ar-SA"/>
    </w:rPr>
  </w:style>
  <w:style w:type="paragraph" w:customStyle="1" w:styleId="69">
    <w:name w:val="ddddd"/>
    <w:basedOn w:val="1"/>
    <w:qFormat/>
    <w:uiPriority w:val="0"/>
    <w:pPr>
      <w:pageBreakBefore/>
    </w:pPr>
    <w:rPr>
      <w:rFonts w:ascii="Times New Roman" w:hAnsi="Times New Roman" w:eastAsia="宋体"/>
      <w:snapToGrid/>
      <w:kern w:val="2"/>
      <w:sz w:val="21"/>
      <w:szCs w:val="20"/>
    </w:rPr>
  </w:style>
  <w:style w:type="paragraph" w:customStyle="1" w:styleId="70">
    <w:name w:val="默认段落字体 Para Char Char Char Char Char Char Char"/>
    <w:basedOn w:val="10"/>
    <w:qFormat/>
    <w:uiPriority w:val="0"/>
    <w:pPr>
      <w:adjustRightInd w:val="0"/>
      <w:spacing w:line="436" w:lineRule="exact"/>
      <w:ind w:left="357"/>
      <w:jc w:val="left"/>
      <w:outlineLvl w:val="3"/>
    </w:pPr>
    <w:rPr>
      <w:rFonts w:ascii="Tahoma" w:hAnsi="Tahoma" w:eastAsia="宋体"/>
      <w:b/>
      <w:snapToGrid/>
      <w:kern w:val="2"/>
      <w:sz w:val="24"/>
      <w:szCs w:val="24"/>
    </w:rPr>
  </w:style>
  <w:style w:type="paragraph" w:customStyle="1" w:styleId="71">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2">
    <w:name w:val="Char Char1"/>
    <w:basedOn w:val="10"/>
    <w:qFormat/>
    <w:uiPriority w:val="0"/>
    <w:rPr>
      <w:rFonts w:ascii="Tahoma" w:hAnsi="Tahoma" w:eastAsia="宋体"/>
      <w:snapToGrid/>
      <w:kern w:val="2"/>
      <w:sz w:val="24"/>
      <w:szCs w:val="24"/>
    </w:rPr>
  </w:style>
  <w:style w:type="paragraph" w:customStyle="1" w:styleId="73">
    <w:name w:val="Char Char Char Char"/>
    <w:basedOn w:val="1"/>
    <w:qFormat/>
    <w:uiPriority w:val="0"/>
    <w:rPr>
      <w:rFonts w:ascii="Times New Roman" w:hAnsi="Times New Roman" w:eastAsia="宋体"/>
      <w:snapToGrid/>
      <w:kern w:val="2"/>
      <w:sz w:val="21"/>
      <w:szCs w:val="24"/>
    </w:rPr>
  </w:style>
  <w:style w:type="paragraph" w:customStyle="1" w:styleId="74">
    <w:name w:val="首信标准正文"/>
    <w:basedOn w:val="1"/>
    <w:qFormat/>
    <w:uiPriority w:val="0"/>
    <w:pPr>
      <w:spacing w:line="360" w:lineRule="auto"/>
    </w:pPr>
    <w:rPr>
      <w:rFonts w:ascii="Tahoma" w:hAnsi="Tahoma" w:eastAsia="宋体"/>
      <w:snapToGrid/>
      <w:kern w:val="2"/>
      <w:sz w:val="24"/>
      <w:szCs w:val="20"/>
    </w:rPr>
  </w:style>
  <w:style w:type="paragraph" w:customStyle="1" w:styleId="75">
    <w:name w:val="默认段落字体 Para Char Char Char2 Char Char Char Char Char Char Char Char Char Char"/>
    <w:basedOn w:val="1"/>
    <w:qFormat/>
    <w:uiPriority w:val="0"/>
    <w:rPr>
      <w:rFonts w:eastAsia="宋体" w:cs="Courier New"/>
      <w:snapToGrid/>
      <w:kern w:val="2"/>
    </w:rPr>
  </w:style>
  <w:style w:type="paragraph" w:customStyle="1" w:styleId="76">
    <w:name w:val="Char"/>
    <w:basedOn w:val="1"/>
    <w:qFormat/>
    <w:uiPriority w:val="0"/>
    <w:pPr>
      <w:widowControl/>
      <w:spacing w:after="160" w:line="240" w:lineRule="exact"/>
      <w:jc w:val="left"/>
    </w:pPr>
    <w:rPr>
      <w:rFonts w:ascii="Verdana" w:hAnsi="Verdana"/>
      <w:snapToGrid/>
      <w:kern w:val="0"/>
      <w:sz w:val="24"/>
      <w:szCs w:val="20"/>
      <w:lang w:eastAsia="en-US"/>
    </w:rPr>
  </w:style>
  <w:style w:type="paragraph" w:customStyle="1" w:styleId="77">
    <w:name w:val="Char Char Char Char Char Char Char Char Char Char"/>
    <w:basedOn w:val="1"/>
    <w:qFormat/>
    <w:uiPriority w:val="0"/>
    <w:rPr>
      <w:rFonts w:ascii="Tahoma" w:hAnsi="Tahoma" w:eastAsia="宋体"/>
      <w:snapToGrid/>
      <w:kern w:val="2"/>
      <w:sz w:val="24"/>
      <w:szCs w:val="20"/>
    </w:rPr>
  </w:style>
  <w:style w:type="paragraph" w:customStyle="1" w:styleId="78">
    <w:name w:val="cjk"/>
    <w:basedOn w:val="1"/>
    <w:qFormat/>
    <w:uiPriority w:val="0"/>
    <w:pPr>
      <w:widowControl/>
      <w:spacing w:before="100" w:beforeAutospacing="1"/>
      <w:jc w:val="center"/>
    </w:pPr>
    <w:rPr>
      <w:rFonts w:eastAsia="宋体"/>
      <w:b/>
      <w:bCs/>
      <w:snapToGrid/>
      <w:kern w:val="0"/>
    </w:rPr>
  </w:style>
  <w:style w:type="paragraph" w:customStyle="1" w:styleId="79">
    <w:name w:val="Char Char Char Char1"/>
    <w:basedOn w:val="1"/>
    <w:qFormat/>
    <w:uiPriority w:val="0"/>
    <w:pPr>
      <w:adjustRightInd w:val="0"/>
      <w:spacing w:line="360" w:lineRule="auto"/>
    </w:pPr>
    <w:rPr>
      <w:rFonts w:ascii="Times New Roman" w:hAnsi="Times New Roman" w:eastAsia="宋体"/>
      <w:snapToGrid/>
      <w:kern w:val="0"/>
      <w:sz w:val="24"/>
      <w:szCs w:val="20"/>
    </w:rPr>
  </w:style>
  <w:style w:type="paragraph" w:customStyle="1" w:styleId="80">
    <w:name w:val="列表段落1"/>
    <w:basedOn w:val="1"/>
    <w:qFormat/>
    <w:uiPriority w:val="0"/>
    <w:pPr>
      <w:ind w:firstLine="420" w:firstLineChars="200"/>
    </w:pPr>
    <w:rPr>
      <w:rFonts w:ascii="Calibri" w:hAnsi="Calibri" w:eastAsia="宋体"/>
      <w:snapToGrid/>
      <w:kern w:val="2"/>
      <w:sz w:val="21"/>
      <w:szCs w:val="22"/>
    </w:rPr>
  </w:style>
  <w:style w:type="paragraph" w:customStyle="1" w:styleId="81">
    <w:name w:val="正文（基准，首行不缩进）"/>
    <w:qFormat/>
    <w:uiPriority w:val="0"/>
    <w:pPr>
      <w:widowControl w:val="0"/>
      <w:autoSpaceDE w:val="0"/>
      <w:autoSpaceDN w:val="0"/>
      <w:adjustRightInd w:val="0"/>
      <w:jc w:val="both"/>
    </w:pPr>
    <w:rPr>
      <w:rFonts w:ascii="Times New Roman" w:hAnsi="Times New Roman" w:eastAsia="宋体" w:cs="Times New Roman"/>
      <w:sz w:val="21"/>
      <w:lang w:val="en-US" w:eastAsia="zh-CN" w:bidi="ar-SA"/>
    </w:rPr>
  </w:style>
  <w:style w:type="paragraph" w:customStyle="1" w:styleId="82">
    <w:name w:val="WW-正文文字缩进 2"/>
    <w:basedOn w:val="1"/>
    <w:qFormat/>
    <w:uiPriority w:val="0"/>
    <w:pPr>
      <w:suppressAutoHyphens/>
      <w:spacing w:line="276" w:lineRule="auto"/>
      <w:ind w:firstLine="630"/>
    </w:pPr>
    <w:rPr>
      <w:rFonts w:ascii="楷体_GB2312" w:hAnsi="楷体_GB2312" w:eastAsia="宋体"/>
      <w:snapToGrid/>
      <w:kern w:val="1"/>
      <w:szCs w:val="20"/>
    </w:rPr>
  </w:style>
  <w:style w:type="paragraph" w:customStyle="1" w:styleId="83">
    <w:name w:val="Char11"/>
    <w:basedOn w:val="1"/>
    <w:qFormat/>
    <w:uiPriority w:val="0"/>
    <w:rPr>
      <w:rFonts w:eastAsia="宋体" w:cs="Courier New"/>
      <w:snapToGrid/>
      <w:kern w:val="2"/>
    </w:rPr>
  </w:style>
  <w:style w:type="paragraph" w:customStyle="1" w:styleId="84">
    <w:name w:val="Char Char Char Char Char Char"/>
    <w:basedOn w:val="1"/>
    <w:qFormat/>
    <w:uiPriority w:val="0"/>
    <w:pPr>
      <w:widowControl/>
      <w:spacing w:after="160" w:line="240" w:lineRule="exact"/>
      <w:jc w:val="left"/>
    </w:pPr>
    <w:rPr>
      <w:rFonts w:ascii="Arial" w:hAnsi="Arial" w:eastAsia="Times New Roman" w:cs="Verdana"/>
      <w:b/>
      <w:snapToGrid/>
      <w:kern w:val="0"/>
      <w:sz w:val="24"/>
      <w:szCs w:val="20"/>
      <w:lang w:eastAsia="en-US"/>
    </w:rPr>
  </w:style>
  <w:style w:type="paragraph" w:customStyle="1" w:styleId="85">
    <w:name w:val="Char Char Char Char Char Char Char Char Char Char Char Char Char"/>
    <w:basedOn w:val="1"/>
    <w:qFormat/>
    <w:uiPriority w:val="0"/>
    <w:rPr>
      <w:rFonts w:ascii="Tahoma" w:hAnsi="Tahoma" w:eastAsia="宋体"/>
      <w:snapToGrid/>
      <w:kern w:val="2"/>
      <w:sz w:val="24"/>
      <w:szCs w:val="20"/>
    </w:rPr>
  </w:style>
  <w:style w:type="paragraph" w:customStyle="1" w:styleId="86">
    <w:name w:val="Char2 Char Char Char Char Char Char"/>
    <w:basedOn w:val="1"/>
    <w:qFormat/>
    <w:uiPriority w:val="0"/>
    <w:pPr>
      <w:snapToGrid w:val="0"/>
      <w:spacing w:line="360" w:lineRule="auto"/>
      <w:ind w:firstLine="200" w:firstLineChars="200"/>
    </w:pPr>
    <w:rPr>
      <w:rFonts w:ascii="Times New Roman" w:hAnsi="Times New Roman"/>
      <w:snapToGrid/>
      <w:kern w:val="2"/>
      <w:sz w:val="24"/>
      <w:szCs w:val="24"/>
    </w:rPr>
  </w:style>
  <w:style w:type="paragraph" w:customStyle="1" w:styleId="87">
    <w:name w:val="Char Char Char Char Char Char Char"/>
    <w:basedOn w:val="1"/>
    <w:qFormat/>
    <w:uiPriority w:val="0"/>
    <w:rPr>
      <w:rFonts w:eastAsia="宋体" w:cs="Courier New"/>
      <w:snapToGrid/>
      <w:kern w:val="2"/>
    </w:rPr>
  </w:style>
  <w:style w:type="paragraph" w:customStyle="1" w:styleId="88">
    <w:name w:val="Char Char Char Char Char Char Char Char Char Char Char Char Char Char Char Char"/>
    <w:basedOn w:val="1"/>
    <w:qFormat/>
    <w:uiPriority w:val="0"/>
    <w:pPr>
      <w:jc w:val="center"/>
    </w:pPr>
    <w:rPr>
      <w:rFonts w:ascii="Tahoma" w:hAnsi="Tahoma" w:eastAsia="宋体"/>
      <w:snapToGrid/>
      <w:kern w:val="2"/>
      <w:sz w:val="24"/>
      <w:szCs w:val="20"/>
    </w:rPr>
  </w:style>
  <w:style w:type="paragraph" w:customStyle="1" w:styleId="89">
    <w:name w:val="Char1"/>
    <w:basedOn w:val="1"/>
    <w:qFormat/>
    <w:uiPriority w:val="0"/>
    <w:rPr>
      <w:rFonts w:ascii="Tahoma" w:hAnsi="Tahoma" w:eastAsia="宋体"/>
      <w:snapToGrid/>
      <w:kern w:val="2"/>
      <w:sz w:val="24"/>
      <w:szCs w:val="20"/>
    </w:rPr>
  </w:style>
  <w:style w:type="paragraph" w:customStyle="1" w:styleId="90">
    <w:name w:val="默认段落字体 Para Char Char Char Char"/>
    <w:basedOn w:val="1"/>
    <w:qFormat/>
    <w:uiPriority w:val="0"/>
    <w:rPr>
      <w:rFonts w:ascii="Times New Roman" w:hAnsi="Times New Roman" w:eastAsia="宋体"/>
      <w:snapToGrid/>
      <w:kern w:val="2"/>
      <w:sz w:val="21"/>
      <w:szCs w:val="24"/>
    </w:rPr>
  </w:style>
  <w:style w:type="paragraph" w:customStyle="1" w:styleId="91">
    <w:name w:val="msolistparagraph"/>
    <w:basedOn w:val="1"/>
    <w:qFormat/>
    <w:uiPriority w:val="0"/>
    <w:pPr>
      <w:widowControl/>
      <w:spacing w:before="100" w:beforeAutospacing="1" w:after="100" w:afterAutospacing="1"/>
      <w:jc w:val="left"/>
    </w:pPr>
    <w:rPr>
      <w:rFonts w:eastAsia="宋体" w:cs="宋体"/>
      <w:snapToGrid/>
      <w:kern w:val="0"/>
      <w:sz w:val="24"/>
      <w:szCs w:val="24"/>
    </w:rPr>
  </w:style>
  <w:style w:type="character" w:customStyle="1" w:styleId="92">
    <w:name w:val="content"/>
    <w:basedOn w:val="34"/>
    <w:qFormat/>
    <w:uiPriority w:val="0"/>
  </w:style>
  <w:style w:type="paragraph" w:customStyle="1" w:styleId="93">
    <w:name w:val="主题词"/>
    <w:basedOn w:val="1"/>
    <w:qFormat/>
    <w:uiPriority w:val="0"/>
    <w:pPr>
      <w:jc w:val="left"/>
    </w:pPr>
    <w:rPr>
      <w:rFonts w:ascii="Times New Roman" w:hAnsi="Times New Roman" w:eastAsia="宋体"/>
      <w:snapToGrid/>
      <w:kern w:val="2"/>
      <w:szCs w:val="20"/>
    </w:rPr>
  </w:style>
  <w:style w:type="paragraph" w:customStyle="1" w:styleId="94">
    <w:name w:val="我的正文"/>
    <w:basedOn w:val="1"/>
    <w:qFormat/>
    <w:uiPriority w:val="0"/>
    <w:pPr>
      <w:ind w:firstLine="200" w:firstLineChars="200"/>
    </w:pPr>
    <w:rPr>
      <w:rFonts w:ascii="Calibri" w:hAnsi="Calibri" w:eastAsia="宋体"/>
      <w:snapToGrid/>
      <w:kern w:val="2"/>
      <w:sz w:val="24"/>
      <w:szCs w:val="22"/>
    </w:rPr>
  </w:style>
  <w:style w:type="paragraph" w:customStyle="1" w:styleId="9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96">
    <w:name w:val="msonormalcxspmiddle"/>
    <w:basedOn w:val="1"/>
    <w:qFormat/>
    <w:uiPriority w:val="0"/>
    <w:pPr>
      <w:widowControl/>
      <w:spacing w:before="100" w:beforeAutospacing="1" w:after="100" w:afterAutospacing="1"/>
      <w:jc w:val="left"/>
    </w:pPr>
    <w:rPr>
      <w:rFonts w:eastAsia="宋体" w:cs="宋体"/>
      <w:snapToGrid/>
      <w:kern w:val="0"/>
      <w:sz w:val="24"/>
      <w:szCs w:val="24"/>
    </w:rPr>
  </w:style>
  <w:style w:type="paragraph" w:customStyle="1" w:styleId="97">
    <w:name w:val="!BECC正文"/>
    <w:basedOn w:val="1"/>
    <w:link w:val="98"/>
    <w:qFormat/>
    <w:uiPriority w:val="0"/>
    <w:pPr>
      <w:tabs>
        <w:tab w:val="left" w:pos="0"/>
      </w:tabs>
      <w:spacing w:beforeLines="50" w:afterLines="50" w:line="360" w:lineRule="auto"/>
      <w:ind w:firstLine="480" w:firstLineChars="200"/>
      <w:contextualSpacing/>
    </w:pPr>
    <w:rPr>
      <w:rFonts w:ascii="Times New Roman" w:hAnsi="Times New Roman" w:eastAsia="宋体"/>
      <w:snapToGrid/>
      <w:kern w:val="0"/>
      <w:sz w:val="24"/>
      <w:szCs w:val="24"/>
    </w:rPr>
  </w:style>
  <w:style w:type="character" w:customStyle="1" w:styleId="98">
    <w:name w:val="!BECC正文 Char"/>
    <w:link w:val="97"/>
    <w:qFormat/>
    <w:uiPriority w:val="0"/>
    <w:rPr>
      <w:rFonts w:eastAsia="宋体"/>
      <w:sz w:val="24"/>
      <w:szCs w:val="24"/>
      <w:lang w:bidi="ar-SA"/>
    </w:rPr>
  </w:style>
  <w:style w:type="paragraph" w:customStyle="1" w:styleId="99">
    <w:name w:val="WW-日期"/>
    <w:basedOn w:val="1"/>
    <w:next w:val="1"/>
    <w:qFormat/>
    <w:uiPriority w:val="0"/>
    <w:pPr>
      <w:suppressAutoHyphens/>
    </w:pPr>
    <w:rPr>
      <w:rFonts w:ascii="仿宋_GB2312" w:hAnsi="仿宋_GB2312"/>
      <w:snapToGrid/>
      <w:kern w:val="1"/>
      <w:szCs w:val="24"/>
    </w:rPr>
  </w:style>
  <w:style w:type="paragraph" w:customStyle="1" w:styleId="100">
    <w:name w:val="正文 New"/>
    <w:qFormat/>
    <w:uiPriority w:val="0"/>
    <w:pPr>
      <w:widowControl w:val="0"/>
      <w:jc w:val="both"/>
    </w:pPr>
    <w:rPr>
      <w:rFonts w:ascii="Times New Roman" w:hAnsi="Times New Roman" w:eastAsia="楷体_GB2312" w:cs="Times New Roman"/>
      <w:kern w:val="2"/>
      <w:sz w:val="32"/>
      <w:lang w:val="en-US" w:eastAsia="zh-CN" w:bidi="ar-SA"/>
    </w:rPr>
  </w:style>
  <w:style w:type="paragraph" w:customStyle="1" w:styleId="101">
    <w:name w:val="正文 New New New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102">
    <w:name w:val="正文 New New New New New New New New New New New New New New New New New New New New New New New New New New"/>
    <w:qFormat/>
    <w:uiPriority w:val="0"/>
    <w:pPr>
      <w:widowControl w:val="0"/>
      <w:snapToGrid w:val="0"/>
      <w:jc w:val="both"/>
    </w:pPr>
    <w:rPr>
      <w:rFonts w:ascii="宋体" w:hAnsi="宋体" w:eastAsia="仿宋_GB2312" w:cs="Times New Roman"/>
      <w:kern w:val="32"/>
      <w:sz w:val="32"/>
      <w:szCs w:val="32"/>
      <w:lang w:val="en-US" w:eastAsia="zh-CN" w:bidi="ar-SA"/>
    </w:rPr>
  </w:style>
  <w:style w:type="paragraph" w:customStyle="1" w:styleId="103">
    <w:name w:val="正文 New New New"/>
    <w:qFormat/>
    <w:uiPriority w:val="0"/>
    <w:pPr>
      <w:widowControl w:val="0"/>
      <w:jc w:val="both"/>
    </w:pPr>
    <w:rPr>
      <w:rFonts w:ascii="宋体" w:hAnsi="宋体" w:eastAsia="楷体_GB2312" w:cs="Times New Roman"/>
      <w:kern w:val="2"/>
      <w:sz w:val="32"/>
      <w:lang w:val="en-US" w:eastAsia="zh-CN" w:bidi="ar-SA"/>
    </w:rPr>
  </w:style>
  <w:style w:type="character" w:customStyle="1" w:styleId="104">
    <w:name w:val="标题 1 Char New"/>
    <w:basedOn w:val="34"/>
    <w:link w:val="105"/>
    <w:qFormat/>
    <w:locked/>
    <w:uiPriority w:val="0"/>
    <w:rPr>
      <w:rFonts w:ascii="宋体" w:hAnsi="宋体"/>
      <w:b/>
      <w:kern w:val="36"/>
      <w:sz w:val="48"/>
      <w:lang w:bidi="ar-SA"/>
    </w:rPr>
  </w:style>
  <w:style w:type="paragraph" w:customStyle="1" w:styleId="105">
    <w:name w:val="标题 11"/>
    <w:basedOn w:val="1"/>
    <w:link w:val="104"/>
    <w:qFormat/>
    <w:uiPriority w:val="0"/>
    <w:pPr>
      <w:spacing w:before="100" w:beforeAutospacing="1" w:after="100" w:afterAutospacing="1" w:line="336" w:lineRule="auto"/>
      <w:outlineLvl w:val="0"/>
    </w:pPr>
    <w:rPr>
      <w:rFonts w:eastAsia="Times New Roman"/>
      <w:b/>
      <w:snapToGrid/>
      <w:kern w:val="36"/>
      <w:sz w:val="48"/>
      <w:szCs w:val="20"/>
    </w:rPr>
  </w:style>
  <w:style w:type="character" w:customStyle="1" w:styleId="106">
    <w:name w:val="段 Char"/>
    <w:link w:val="107"/>
    <w:qFormat/>
    <w:uiPriority w:val="0"/>
    <w:rPr>
      <w:rFonts w:ascii="宋体" w:eastAsia="Times New Roman"/>
      <w:sz w:val="21"/>
      <w:lang w:val="en-US" w:eastAsia="zh-CN" w:bidi="ar-SA"/>
    </w:rPr>
  </w:style>
  <w:style w:type="paragraph" w:customStyle="1" w:styleId="107">
    <w:name w:val="段"/>
    <w:link w:val="106"/>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sz w:val="21"/>
      <w:lang w:val="en-US" w:eastAsia="zh-CN" w:bidi="ar-SA"/>
    </w:rPr>
  </w:style>
  <w:style w:type="paragraph" w:customStyle="1" w:styleId="108">
    <w:name w:val="Char Char Char Char Char Char Char1"/>
    <w:basedOn w:val="1"/>
    <w:qFormat/>
    <w:uiPriority w:val="0"/>
    <w:rPr>
      <w:rFonts w:ascii="Tahoma" w:hAnsi="Tahoma" w:eastAsia="宋体"/>
      <w:snapToGrid/>
      <w:kern w:val="2"/>
      <w:sz w:val="24"/>
      <w:szCs w:val="20"/>
    </w:rPr>
  </w:style>
  <w:style w:type="paragraph" w:customStyle="1" w:styleId="109">
    <w:name w:val="列出段落1"/>
    <w:basedOn w:val="1"/>
    <w:qFormat/>
    <w:uiPriority w:val="34"/>
    <w:pPr>
      <w:ind w:firstLine="420" w:firstLineChars="200"/>
    </w:pPr>
    <w:rPr>
      <w:rFonts w:ascii="Calibri" w:hAnsi="Calibri" w:eastAsia="宋体"/>
      <w:snapToGrid/>
      <w:kern w:val="2"/>
      <w:sz w:val="21"/>
      <w:szCs w:val="22"/>
    </w:rPr>
  </w:style>
  <w:style w:type="paragraph" w:customStyle="1" w:styleId="110">
    <w:name w:val="修订1"/>
    <w:hidden/>
    <w:semiHidden/>
    <w:qFormat/>
    <w:uiPriority w:val="99"/>
    <w:rPr>
      <w:rFonts w:ascii="宋体" w:hAnsi="宋体" w:eastAsia="仿宋_GB2312" w:cs="Times New Roman"/>
      <w:snapToGrid w:val="0"/>
      <w:kern w:val="32"/>
      <w:sz w:val="32"/>
      <w:szCs w:val="32"/>
      <w:lang w:val="en-US" w:eastAsia="zh-CN" w:bidi="ar-SA"/>
    </w:rPr>
  </w:style>
  <w:style w:type="paragraph" w:customStyle="1" w:styleId="111">
    <w:name w:val="_Style 5"/>
    <w:basedOn w:val="1"/>
    <w:qFormat/>
    <w:uiPriority w:val="0"/>
    <w:pPr>
      <w:ind w:firstLine="420" w:firstLineChars="200"/>
    </w:pPr>
    <w:rPr>
      <w:rFonts w:ascii="Calibri" w:hAnsi="Calibri" w:eastAsia="宋体" w:cs="Calibri"/>
      <w:snapToGrid/>
      <w:kern w:val="2"/>
      <w:sz w:val="21"/>
      <w:szCs w:val="21"/>
    </w:rPr>
  </w:style>
  <w:style w:type="character" w:customStyle="1" w:styleId="112">
    <w:name w:val="15"/>
    <w:basedOn w:val="34"/>
    <w:qFormat/>
    <w:uiPriority w:val="0"/>
    <w:rPr>
      <w:rFonts w:hint="default" w:ascii="Times New Roman" w:hAnsi="Times New Roman" w:cs="Times New Roman"/>
    </w:rPr>
  </w:style>
  <w:style w:type="character" w:customStyle="1" w:styleId="113">
    <w:name w:val="NormalCharacter"/>
    <w:link w:val="114"/>
    <w:qFormat/>
    <w:uiPriority w:val="0"/>
  </w:style>
  <w:style w:type="paragraph" w:customStyle="1" w:styleId="114">
    <w:name w:val="UserStyle_19"/>
    <w:basedOn w:val="1"/>
    <w:link w:val="113"/>
    <w:qFormat/>
    <w:uiPriority w:val="0"/>
    <w:pPr>
      <w:textAlignment w:val="baseline"/>
    </w:pPr>
  </w:style>
  <w:style w:type="character" w:customStyle="1" w:styleId="115">
    <w:name w:val="批注文字 字符"/>
    <w:basedOn w:val="34"/>
    <w:link w:val="11"/>
    <w:qFormat/>
    <w:uiPriority w:val="0"/>
    <w:rPr>
      <w:kern w:val="2"/>
      <w:sz w:val="21"/>
    </w:rPr>
  </w:style>
  <w:style w:type="character" w:customStyle="1" w:styleId="116">
    <w:name w:val="批注主题 字符"/>
    <w:basedOn w:val="115"/>
    <w:link w:val="31"/>
    <w:qFormat/>
    <w:uiPriority w:val="0"/>
    <w:rPr>
      <w:rFonts w:ascii="宋体" w:hAnsi="宋体" w:eastAsia="仿宋_GB2312"/>
      <w:b/>
      <w:bCs/>
      <w:snapToGrid w:val="0"/>
      <w:kern w:val="32"/>
      <w:sz w:val="32"/>
      <w:szCs w:val="32"/>
    </w:rPr>
  </w:style>
  <w:style w:type="paragraph" w:customStyle="1" w:styleId="117">
    <w:name w:val="修订2"/>
    <w:hidden/>
    <w:unhideWhenUsed/>
    <w:qFormat/>
    <w:uiPriority w:val="99"/>
    <w:rPr>
      <w:rFonts w:ascii="宋体" w:hAnsi="宋体" w:eastAsia="仿宋_GB2312" w:cs="Times New Roman"/>
      <w:snapToGrid w:val="0"/>
      <w:kern w:val="32"/>
      <w:sz w:val="32"/>
      <w:szCs w:val="32"/>
      <w:lang w:val="en-US" w:eastAsia="zh-CN" w:bidi="ar-SA"/>
    </w:rPr>
  </w:style>
  <w:style w:type="paragraph" w:customStyle="1" w:styleId="118">
    <w:name w:val="目录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19">
    <w:name w:val="公文正文"/>
    <w:basedOn w:val="1"/>
    <w:qFormat/>
    <w:uiPriority w:val="0"/>
    <w:pPr>
      <w:adjustRightInd w:val="0"/>
      <w:snapToGrid w:val="0"/>
      <w:spacing w:line="560" w:lineRule="exact"/>
      <w:ind w:firstLine="560" w:firstLineChars="200"/>
    </w:pPr>
  </w:style>
  <w:style w:type="paragraph" w:customStyle="1" w:styleId="120">
    <w:name w:val="修订3"/>
    <w:hidden/>
    <w:unhideWhenUsed/>
    <w:qFormat/>
    <w:uiPriority w:val="99"/>
    <w:rPr>
      <w:rFonts w:ascii="宋体" w:hAnsi="宋体" w:eastAsia="仿宋_GB2312" w:cs="Times New Roman"/>
      <w:snapToGrid w:val="0"/>
      <w:kern w:val="32"/>
      <w:sz w:val="32"/>
      <w:szCs w:val="32"/>
      <w:lang w:val="en-US" w:eastAsia="zh-CN" w:bidi="ar-SA"/>
    </w:rPr>
  </w:style>
  <w:style w:type="paragraph" w:styleId="121">
    <w:name w:val="List Paragraph"/>
    <w:basedOn w:val="1"/>
    <w:unhideWhenUsed/>
    <w:qFormat/>
    <w:uiPriority w:val="99"/>
    <w:pPr>
      <w:ind w:firstLine="420" w:firstLineChars="200"/>
    </w:pPr>
  </w:style>
  <w:style w:type="paragraph" w:customStyle="1" w:styleId="122">
    <w:name w:val="UserStyle_4"/>
    <w:next w:val="1"/>
    <w:qFormat/>
    <w:uiPriority w:val="0"/>
    <w:pPr>
      <w:jc w:val="both"/>
      <w:textAlignment w:val="baseline"/>
    </w:pPr>
    <w:rPr>
      <w:rFonts w:ascii="Calibri" w:hAnsi="Calibri" w:eastAsia="宋体" w:cs="Times New Roman"/>
      <w:sz w:val="21"/>
      <w:szCs w:val="22"/>
      <w:lang w:val="en-US" w:eastAsia="zh-CN" w:bidi="ar-SA"/>
    </w:rPr>
  </w:style>
  <w:style w:type="character" w:customStyle="1" w:styleId="123">
    <w:name w:val="正文文本 字符"/>
    <w:basedOn w:val="34"/>
    <w:link w:val="2"/>
    <w:qFormat/>
    <w:uiPriority w:val="0"/>
    <w:rPr>
      <w:rFonts w:ascii="宋体" w:hAnsi="宋体" w:eastAsia="仿宋_GB2312"/>
      <w:snapToGrid w:val="0"/>
      <w:kern w:val="32"/>
      <w:sz w:val="32"/>
      <w:szCs w:val="32"/>
    </w:rPr>
  </w:style>
  <w:style w:type="paragraph" w:customStyle="1" w:styleId="124">
    <w:name w:val="修订4"/>
    <w:hidden/>
    <w:unhideWhenUsed/>
    <w:qFormat/>
    <w:uiPriority w:val="99"/>
    <w:rPr>
      <w:rFonts w:ascii="宋体" w:hAnsi="宋体" w:eastAsia="仿宋_GB2312" w:cs="Times New Roman"/>
      <w:snapToGrid w:val="0"/>
      <w:kern w:val="3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bgs</Company>
  <Pages>16</Pages>
  <Words>6966</Words>
  <Characters>7361</Characters>
  <Lines>182</Lines>
  <Paragraphs>133</Paragraphs>
  <TotalTime>9</TotalTime>
  <ScaleCrop>false</ScaleCrop>
  <LinksUpToDate>false</LinksUpToDate>
  <CharactersWithSpaces>7363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2019-06-14T16:38:00Z</dcterms:created>
  <dc:creator>zy</dc:creator>
  <cp:lastModifiedBy>Milenight</cp:lastModifiedBy>
  <cp:lastPrinted>2025-09-26T02:33:00Z</cp:lastPrinted>
  <dcterms:modified xsi:type="dcterms:W3CDTF">2026-10-08T06:18:58Z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1460FD987CA3DB815D55D2686CD9CA6B</vt:lpwstr>
  </property>
  <property fmtid="{D5CDD505-2E9C-101B-9397-08002B2CF9AE}" pid="4" name="KSOTemplateDocerSaveRecord">
    <vt:lpwstr>eyJoZGlkIjoiMzMxNDdmYWEwZGU5MDU2MTNiMzMzOTlkYjM0NjVkNWQiLCJ1c2VySWQiOiIyNTEzNzQzNzIifQ==</vt:lpwstr>
  </property>
</Properties>
</file>