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4BDB9">
      <w:pPr>
        <w:pageBreakBefore w:val="0"/>
        <w:kinsoku/>
        <w:wordWrap/>
        <w:autoSpaceDE/>
        <w:autoSpaceDN/>
        <w:bidi w:val="0"/>
        <w:spacing w:line="560" w:lineRule="exact"/>
        <w:ind w:firstLine="0" w:firstLineChars="0"/>
        <w:rPr>
          <w:rFonts w:hint="eastAsia" w:ascii="黑体" w:hAnsi="黑体" w:eastAsia="黑体" w:cs="黑体"/>
          <w:color w:val="auto"/>
          <w:highlight w:val="none"/>
          <w:shd w:val="clear" w:color="auto" w:fill="auto"/>
          <w:lang w:val="en-US" w:eastAsia="zh-CN"/>
        </w:rPr>
      </w:pPr>
      <w:r>
        <w:rPr>
          <w:rFonts w:hint="eastAsia" w:ascii="黑体" w:hAnsi="黑体" w:eastAsia="黑体" w:cs="黑体"/>
          <w:color w:val="auto"/>
          <w:highlight w:val="none"/>
          <w:shd w:val="clear" w:color="auto" w:fill="auto"/>
          <w:lang w:val="en-US" w:eastAsia="zh-CN"/>
        </w:rPr>
        <w:t>附件1</w:t>
      </w:r>
    </w:p>
    <w:p w14:paraId="6453CE01">
      <w:pPr>
        <w:pageBreakBefore w:val="0"/>
        <w:kinsoku/>
        <w:wordWrap/>
        <w:autoSpaceDE/>
        <w:autoSpaceDN/>
        <w:bidi w:val="0"/>
        <w:spacing w:line="560" w:lineRule="exact"/>
        <w:ind w:firstLine="560"/>
        <w:rPr>
          <w:rFonts w:hint="eastAsia"/>
          <w:color w:val="auto"/>
          <w:highlight w:val="none"/>
          <w:shd w:val="clear" w:color="auto" w:fill="auto"/>
        </w:rPr>
      </w:pPr>
    </w:p>
    <w:p w14:paraId="0C4BA71D">
      <w:pPr>
        <w:pageBreakBefore w:val="0"/>
        <w:kinsoku/>
        <w:wordWrap/>
        <w:autoSpaceDE/>
        <w:autoSpaceDN/>
        <w:bidi w:val="0"/>
        <w:spacing w:line="560" w:lineRule="exact"/>
        <w:ind w:firstLine="560"/>
        <w:rPr>
          <w:rFonts w:hint="eastAsia"/>
          <w:color w:val="auto"/>
          <w:highlight w:val="none"/>
          <w:shd w:val="clear" w:color="auto" w:fill="auto"/>
        </w:rPr>
      </w:pPr>
    </w:p>
    <w:p w14:paraId="0A1C1CA6">
      <w:pPr>
        <w:pageBreakBefore w:val="0"/>
        <w:kinsoku/>
        <w:wordWrap/>
        <w:autoSpaceDE/>
        <w:autoSpaceDN/>
        <w:bidi w:val="0"/>
        <w:spacing w:line="560" w:lineRule="exact"/>
        <w:ind w:firstLine="560"/>
        <w:rPr>
          <w:rFonts w:hint="eastAsia"/>
          <w:color w:val="auto"/>
          <w:highlight w:val="none"/>
          <w:shd w:val="clear" w:color="auto" w:fill="auto"/>
        </w:rPr>
      </w:pPr>
    </w:p>
    <w:p w14:paraId="78BBC2DD">
      <w:pPr>
        <w:pageBreakBefore w:val="0"/>
        <w:kinsoku/>
        <w:wordWrap/>
        <w:autoSpaceDE/>
        <w:autoSpaceDN/>
        <w:bidi w:val="0"/>
        <w:spacing w:line="560" w:lineRule="exact"/>
        <w:ind w:firstLine="560"/>
        <w:rPr>
          <w:rFonts w:hint="eastAsia"/>
          <w:color w:val="auto"/>
          <w:highlight w:val="none"/>
          <w:shd w:val="clear" w:color="auto" w:fill="auto"/>
        </w:rPr>
      </w:pPr>
    </w:p>
    <w:p w14:paraId="626B4E0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方正小标宋简体" w:hAnsi="宋体" w:eastAsia="方正小标宋简体" w:cs="仿宋_GB2312"/>
          <w:b w:val="0"/>
          <w:bCs w:val="0"/>
          <w:color w:val="auto"/>
          <w:kern w:val="0"/>
          <w:sz w:val="44"/>
          <w:szCs w:val="44"/>
          <w:highlight w:val="none"/>
          <w:shd w:val="clear" w:color="auto" w:fill="auto"/>
          <w:lang w:val="en-US" w:eastAsia="zh-CN"/>
        </w:rPr>
      </w:pPr>
      <w:r>
        <w:rPr>
          <w:rFonts w:hint="eastAsia" w:ascii="方正小标宋简体" w:hAnsi="宋体" w:eastAsia="方正小标宋简体" w:cs="仿宋_GB2312"/>
          <w:b w:val="0"/>
          <w:bCs w:val="0"/>
          <w:color w:val="auto"/>
          <w:kern w:val="0"/>
          <w:sz w:val="44"/>
          <w:szCs w:val="44"/>
          <w:highlight w:val="none"/>
          <w:shd w:val="clear" w:color="auto" w:fill="auto"/>
        </w:rPr>
        <w:t>昌平区“十五五”</w:t>
      </w:r>
      <w:r>
        <w:rPr>
          <w:rFonts w:hint="eastAsia" w:ascii="方正小标宋简体" w:hAnsi="宋体" w:eastAsia="方正小标宋简体" w:cs="仿宋_GB2312"/>
          <w:b w:val="0"/>
          <w:bCs w:val="0"/>
          <w:color w:val="auto"/>
          <w:kern w:val="0"/>
          <w:sz w:val="44"/>
          <w:szCs w:val="44"/>
          <w:highlight w:val="none"/>
          <w:shd w:val="clear" w:color="auto" w:fill="auto"/>
          <w:lang w:val="en-US" w:eastAsia="zh-CN"/>
        </w:rPr>
        <w:t>时期</w:t>
      </w:r>
    </w:p>
    <w:p w14:paraId="652F307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ascii="方正小标宋简体" w:hAnsi="方正小标宋简体" w:eastAsia="方正小标宋简体" w:cs="方正小标宋简体"/>
          <w:b w:val="0"/>
          <w:bCs w:val="0"/>
          <w:color w:val="auto"/>
          <w:sz w:val="72"/>
          <w:szCs w:val="72"/>
          <w:highlight w:val="none"/>
          <w:shd w:val="clear" w:color="auto" w:fill="auto"/>
        </w:rPr>
      </w:pPr>
      <w:r>
        <w:rPr>
          <w:rFonts w:hint="eastAsia" w:ascii="方正小标宋简体" w:hAnsi="宋体" w:eastAsia="方正小标宋简体" w:cs="仿宋_GB2312"/>
          <w:b w:val="0"/>
          <w:bCs w:val="0"/>
          <w:color w:val="auto"/>
          <w:kern w:val="0"/>
          <w:sz w:val="44"/>
          <w:szCs w:val="44"/>
          <w:highlight w:val="none"/>
          <w:shd w:val="clear" w:color="auto" w:fill="auto"/>
        </w:rPr>
        <w:t>优化营商环境规划</w:t>
      </w:r>
    </w:p>
    <w:p w14:paraId="30DE8EFA">
      <w:pPr>
        <w:pageBreakBefore w:val="0"/>
        <w:kinsoku/>
        <w:wordWrap/>
        <w:autoSpaceDE/>
        <w:autoSpaceDN/>
        <w:bidi w:val="0"/>
        <w:spacing w:line="560" w:lineRule="exact"/>
        <w:ind w:firstLine="0" w:firstLineChars="0"/>
        <w:jc w:val="center"/>
        <w:rPr>
          <w:rFonts w:hint="eastAsia" w:eastAsia="仿宋_GB2312"/>
          <w:color w:val="auto"/>
          <w:highlight w:val="none"/>
          <w:shd w:val="clear" w:color="auto" w:fill="auto"/>
          <w:lang w:eastAsia="zh-CN"/>
        </w:rPr>
      </w:pPr>
      <w:r>
        <w:rPr>
          <w:rFonts w:hint="eastAsia"/>
          <w:color w:val="auto"/>
          <w:highlight w:val="none"/>
          <w:shd w:val="clear" w:color="auto" w:fill="auto"/>
          <w:lang w:eastAsia="zh-CN"/>
        </w:rPr>
        <w:t>（征求意见稿）</w:t>
      </w:r>
    </w:p>
    <w:p w14:paraId="18D3262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color w:val="auto"/>
          <w:highlight w:val="none"/>
          <w:shd w:val="clear" w:color="auto" w:fill="auto"/>
        </w:rPr>
      </w:pPr>
    </w:p>
    <w:p w14:paraId="7423282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color w:val="auto"/>
          <w:highlight w:val="none"/>
          <w:shd w:val="clear" w:color="auto" w:fill="auto"/>
        </w:rPr>
      </w:pPr>
    </w:p>
    <w:p w14:paraId="0F5D595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color w:val="auto"/>
          <w:highlight w:val="none"/>
          <w:shd w:val="clear" w:color="auto" w:fill="auto"/>
        </w:rPr>
      </w:pPr>
    </w:p>
    <w:p w14:paraId="2805AA96">
      <w:pPr>
        <w:pageBreakBefore w:val="0"/>
        <w:kinsoku/>
        <w:wordWrap/>
        <w:autoSpaceDE/>
        <w:autoSpaceDN/>
        <w:bidi w:val="0"/>
        <w:spacing w:line="560" w:lineRule="exact"/>
        <w:ind w:left="0" w:leftChars="0" w:firstLine="0" w:firstLineChars="0"/>
        <w:rPr>
          <w:rFonts w:hint="eastAsia"/>
          <w:color w:val="auto"/>
          <w:highlight w:val="none"/>
          <w:shd w:val="clear" w:color="auto" w:fill="auto"/>
        </w:rPr>
      </w:pPr>
    </w:p>
    <w:p w14:paraId="582CE81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color w:val="auto"/>
          <w:highlight w:val="none"/>
          <w:shd w:val="clear" w:color="auto" w:fill="auto"/>
        </w:rPr>
      </w:pPr>
    </w:p>
    <w:p w14:paraId="22658439">
      <w:pPr>
        <w:pStyle w:val="13"/>
        <w:pageBreakBefore w:val="0"/>
        <w:kinsoku/>
        <w:wordWrap/>
        <w:autoSpaceDE/>
        <w:autoSpaceDN/>
        <w:bidi w:val="0"/>
        <w:spacing w:line="560" w:lineRule="exact"/>
        <w:rPr>
          <w:rFonts w:hint="eastAsia"/>
          <w:color w:val="auto"/>
          <w:highlight w:val="none"/>
          <w:shd w:val="clear" w:color="auto" w:fill="auto"/>
        </w:rPr>
      </w:pPr>
    </w:p>
    <w:p w14:paraId="6500BC7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eastAsia="仿宋_GB2312"/>
          <w:color w:val="auto"/>
          <w:highlight w:val="none"/>
          <w:shd w:val="clear" w:color="auto" w:fill="auto"/>
          <w:lang w:eastAsia="zh-CN"/>
        </w:rPr>
      </w:pPr>
    </w:p>
    <w:p w14:paraId="4EE90CE3">
      <w:pPr>
        <w:pStyle w:val="13"/>
        <w:rPr>
          <w:rFonts w:hint="eastAsia"/>
          <w:highlight w:val="none"/>
          <w:lang w:eastAsia="zh-CN"/>
        </w:rPr>
      </w:pPr>
    </w:p>
    <w:p w14:paraId="4FA926D3">
      <w:pPr>
        <w:pStyle w:val="13"/>
        <w:pageBreakBefore w:val="0"/>
        <w:kinsoku/>
        <w:wordWrap/>
        <w:autoSpaceDE/>
        <w:autoSpaceDN/>
        <w:bidi w:val="0"/>
        <w:spacing w:line="560" w:lineRule="exact"/>
        <w:rPr>
          <w:rFonts w:hint="eastAsia"/>
          <w:highlight w:val="none"/>
          <w:lang w:eastAsia="zh-CN"/>
        </w:rPr>
      </w:pPr>
    </w:p>
    <w:p w14:paraId="2838FA8C">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eastAsia="仿宋_GB2312"/>
          <w:color w:val="auto"/>
          <w:highlight w:val="none"/>
          <w:shd w:val="clear" w:color="auto" w:fill="auto"/>
          <w:lang w:eastAsia="zh-CN"/>
        </w:rPr>
        <w:sectPr>
          <w:footerReference r:id="rId5" w:type="default"/>
          <w:pgSz w:w="11906" w:h="16838"/>
          <w:pgMar w:top="2098" w:right="1474" w:bottom="1984" w:left="1587" w:header="850" w:footer="992" w:gutter="0"/>
          <w:pgNumType w:start="1"/>
          <w:cols w:space="425" w:num="1"/>
          <w:docGrid w:type="lines" w:linePitch="312" w:charSpace="0"/>
        </w:sectPr>
      </w:pPr>
    </w:p>
    <w:sdt>
      <w:sdtPr>
        <w:rPr>
          <w:rFonts w:hint="eastAsia" w:ascii="黑体" w:hAnsi="黑体" w:eastAsia="黑体" w:cs="黑体"/>
          <w:kern w:val="2"/>
          <w:sz w:val="32"/>
          <w:szCs w:val="32"/>
          <w:highlight w:val="none"/>
          <w:lang w:val="en-US" w:eastAsia="zh-CN" w:bidi="ar-SA"/>
        </w:rPr>
        <w:id w:val="147461019"/>
        <w15:color w:val="DBDBDB"/>
        <w:docPartObj>
          <w:docPartGallery w:val="Table of Contents"/>
          <w:docPartUnique/>
        </w:docPartObj>
      </w:sdtPr>
      <w:sdtEndPr>
        <w:rPr>
          <w:rFonts w:hint="eastAsia" w:ascii="黑体" w:hAnsi="黑体" w:eastAsia="黑体" w:cs="黑体"/>
          <w:kern w:val="2"/>
          <w:sz w:val="32"/>
          <w:szCs w:val="32"/>
          <w:highlight w:val="none"/>
          <w:lang w:val="en-US" w:eastAsia="zh-CN" w:bidi="ar-SA"/>
        </w:rPr>
      </w:sdtEndPr>
      <w:sdtContent>
        <w:p w14:paraId="02D4F5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目</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录</w:t>
          </w:r>
        </w:p>
        <w:p w14:paraId="7D9671BE">
          <w:pPr>
            <w:pStyle w:val="16"/>
            <w:tabs>
              <w:tab w:val="right" w:leader="dot" w:pos="8845"/>
            </w:tabs>
          </w:pPr>
          <w:r>
            <w:rPr>
              <w:highlight w:val="none"/>
            </w:rPr>
            <w:fldChar w:fldCharType="begin"/>
          </w:r>
          <w:r>
            <w:rPr>
              <w:highlight w:val="none"/>
            </w:rPr>
            <w:instrText xml:space="preserve">TOC \o "1-2" \h \u </w:instrText>
          </w:r>
          <w:r>
            <w:rPr>
              <w:highlight w:val="none"/>
            </w:rPr>
            <w:fldChar w:fldCharType="separate"/>
          </w:r>
          <w:r>
            <w:rPr>
              <w:highlight w:val="none"/>
            </w:rPr>
            <w:fldChar w:fldCharType="begin"/>
          </w:r>
          <w:r>
            <w:rPr>
              <w:highlight w:val="none"/>
            </w:rPr>
            <w:instrText xml:space="preserve"> HYPERLINK \l _Toc3172 </w:instrText>
          </w:r>
          <w:r>
            <w:rPr>
              <w:highlight w:val="none"/>
            </w:rPr>
            <w:fldChar w:fldCharType="separate"/>
          </w:r>
          <w:r>
            <w:rPr>
              <w:rFonts w:hint="eastAsia"/>
              <w:highlight w:val="none"/>
              <w:lang w:val="en-US" w:eastAsia="zh-CN"/>
            </w:rPr>
            <w:t>一、总体要求</w:t>
          </w:r>
          <w:r>
            <w:tab/>
          </w:r>
          <w:r>
            <w:fldChar w:fldCharType="begin"/>
          </w:r>
          <w:r>
            <w:instrText xml:space="preserve"> PAGEREF _Toc3172 \h </w:instrText>
          </w:r>
          <w:r>
            <w:fldChar w:fldCharType="separate"/>
          </w:r>
          <w:r>
            <w:t>1</w:t>
          </w:r>
          <w:r>
            <w:fldChar w:fldCharType="end"/>
          </w:r>
          <w:r>
            <w:rPr>
              <w:highlight w:val="none"/>
            </w:rPr>
            <w:fldChar w:fldCharType="end"/>
          </w:r>
        </w:p>
        <w:p w14:paraId="666AC58C">
          <w:pPr>
            <w:pStyle w:val="20"/>
            <w:tabs>
              <w:tab w:val="right" w:leader="dot" w:pos="8845"/>
            </w:tabs>
          </w:pPr>
          <w:r>
            <w:rPr>
              <w:highlight w:val="none"/>
            </w:rPr>
            <w:fldChar w:fldCharType="begin"/>
          </w:r>
          <w:r>
            <w:rPr>
              <w:highlight w:val="none"/>
            </w:rPr>
            <w:instrText xml:space="preserve"> HYPERLINK \l _Toc2992 </w:instrText>
          </w:r>
          <w:r>
            <w:rPr>
              <w:highlight w:val="none"/>
            </w:rPr>
            <w:fldChar w:fldCharType="separate"/>
          </w:r>
          <w:r>
            <w:rPr>
              <w:rFonts w:hint="eastAsia"/>
              <w:highlight w:val="none"/>
              <w:lang w:val="en-US" w:eastAsia="zh-CN"/>
            </w:rPr>
            <w:t>（一）指导思想</w:t>
          </w:r>
          <w:r>
            <w:tab/>
          </w:r>
          <w:r>
            <w:fldChar w:fldCharType="begin"/>
          </w:r>
          <w:r>
            <w:instrText xml:space="preserve"> PAGEREF _Toc2992 \h </w:instrText>
          </w:r>
          <w:r>
            <w:fldChar w:fldCharType="separate"/>
          </w:r>
          <w:r>
            <w:t>1</w:t>
          </w:r>
          <w:r>
            <w:fldChar w:fldCharType="end"/>
          </w:r>
          <w:r>
            <w:rPr>
              <w:highlight w:val="none"/>
            </w:rPr>
            <w:fldChar w:fldCharType="end"/>
          </w:r>
        </w:p>
        <w:p w14:paraId="7D693F6B">
          <w:pPr>
            <w:pStyle w:val="20"/>
            <w:tabs>
              <w:tab w:val="right" w:leader="dot" w:pos="8845"/>
            </w:tabs>
          </w:pPr>
          <w:r>
            <w:rPr>
              <w:highlight w:val="none"/>
            </w:rPr>
            <w:fldChar w:fldCharType="begin"/>
          </w:r>
          <w:r>
            <w:rPr>
              <w:highlight w:val="none"/>
            </w:rPr>
            <w:instrText xml:space="preserve"> HYPERLINK \l _Toc18786 </w:instrText>
          </w:r>
          <w:r>
            <w:rPr>
              <w:highlight w:val="none"/>
            </w:rPr>
            <w:fldChar w:fldCharType="separate"/>
          </w:r>
          <w:r>
            <w:rPr>
              <w:rFonts w:hint="eastAsia"/>
              <w:highlight w:val="none"/>
              <w:lang w:val="en-US" w:eastAsia="zh-CN"/>
            </w:rPr>
            <w:t>（二）发展目标</w:t>
          </w:r>
          <w:r>
            <w:tab/>
          </w:r>
          <w:r>
            <w:fldChar w:fldCharType="begin"/>
          </w:r>
          <w:r>
            <w:instrText xml:space="preserve"> PAGEREF _Toc18786 \h </w:instrText>
          </w:r>
          <w:r>
            <w:fldChar w:fldCharType="separate"/>
          </w:r>
          <w:r>
            <w:t>1</w:t>
          </w:r>
          <w:r>
            <w:fldChar w:fldCharType="end"/>
          </w:r>
          <w:r>
            <w:rPr>
              <w:highlight w:val="none"/>
            </w:rPr>
            <w:fldChar w:fldCharType="end"/>
          </w:r>
        </w:p>
        <w:p w14:paraId="6B262A69">
          <w:pPr>
            <w:pStyle w:val="16"/>
            <w:tabs>
              <w:tab w:val="right" w:leader="dot" w:pos="8845"/>
            </w:tabs>
          </w:pPr>
          <w:r>
            <w:rPr>
              <w:highlight w:val="none"/>
            </w:rPr>
            <w:fldChar w:fldCharType="begin"/>
          </w:r>
          <w:r>
            <w:rPr>
              <w:highlight w:val="none"/>
            </w:rPr>
            <w:instrText xml:space="preserve"> HYPERLINK \l _Toc18364 </w:instrText>
          </w:r>
          <w:r>
            <w:rPr>
              <w:highlight w:val="none"/>
            </w:rPr>
            <w:fldChar w:fldCharType="separate"/>
          </w:r>
          <w:r>
            <w:rPr>
              <w:rFonts w:hint="eastAsia"/>
              <w:lang w:val="en-US" w:eastAsia="zh-CN"/>
            </w:rPr>
            <w:t>二、</w:t>
          </w:r>
          <w:r>
            <w:rPr>
              <w:rFonts w:hint="eastAsia"/>
            </w:rPr>
            <w:t>打造活力迸发的市场环境</w:t>
          </w:r>
          <w:r>
            <w:tab/>
          </w:r>
          <w:r>
            <w:fldChar w:fldCharType="begin"/>
          </w:r>
          <w:r>
            <w:instrText xml:space="preserve"> PAGEREF _Toc18364 \h </w:instrText>
          </w:r>
          <w:r>
            <w:fldChar w:fldCharType="separate"/>
          </w:r>
          <w:r>
            <w:t>2</w:t>
          </w:r>
          <w:r>
            <w:fldChar w:fldCharType="end"/>
          </w:r>
          <w:r>
            <w:rPr>
              <w:highlight w:val="none"/>
            </w:rPr>
            <w:fldChar w:fldCharType="end"/>
          </w:r>
        </w:p>
        <w:p w14:paraId="53961024">
          <w:pPr>
            <w:pStyle w:val="20"/>
            <w:tabs>
              <w:tab w:val="right" w:leader="dot" w:pos="8845"/>
            </w:tabs>
          </w:pPr>
          <w:r>
            <w:rPr>
              <w:highlight w:val="none"/>
            </w:rPr>
            <w:fldChar w:fldCharType="begin"/>
          </w:r>
          <w:r>
            <w:rPr>
              <w:highlight w:val="none"/>
            </w:rPr>
            <w:instrText xml:space="preserve"> HYPERLINK \l _Toc10186 </w:instrText>
          </w:r>
          <w:r>
            <w:rPr>
              <w:highlight w:val="none"/>
            </w:rPr>
            <w:fldChar w:fldCharType="separate"/>
          </w:r>
          <w:r>
            <w:rPr>
              <w:rFonts w:hint="eastAsia"/>
              <w:lang w:val="en-US" w:eastAsia="zh-CN"/>
            </w:rPr>
            <w:t>（一）推动重点领域公平竞争改革</w:t>
          </w:r>
          <w:r>
            <w:tab/>
          </w:r>
          <w:r>
            <w:fldChar w:fldCharType="begin"/>
          </w:r>
          <w:r>
            <w:instrText xml:space="preserve"> PAGEREF _Toc10186 \h </w:instrText>
          </w:r>
          <w:r>
            <w:fldChar w:fldCharType="separate"/>
          </w:r>
          <w:r>
            <w:t>2</w:t>
          </w:r>
          <w:r>
            <w:fldChar w:fldCharType="end"/>
          </w:r>
          <w:r>
            <w:rPr>
              <w:highlight w:val="none"/>
            </w:rPr>
            <w:fldChar w:fldCharType="end"/>
          </w:r>
        </w:p>
        <w:p w14:paraId="28CEDEDC">
          <w:pPr>
            <w:pStyle w:val="20"/>
            <w:tabs>
              <w:tab w:val="right" w:leader="dot" w:pos="8845"/>
            </w:tabs>
          </w:pPr>
          <w:r>
            <w:rPr>
              <w:highlight w:val="none"/>
            </w:rPr>
            <w:fldChar w:fldCharType="begin"/>
          </w:r>
          <w:r>
            <w:rPr>
              <w:highlight w:val="none"/>
            </w:rPr>
            <w:instrText xml:space="preserve"> HYPERLINK \l _Toc12799 </w:instrText>
          </w:r>
          <w:r>
            <w:rPr>
              <w:highlight w:val="none"/>
            </w:rPr>
            <w:fldChar w:fldCharType="separate"/>
          </w:r>
          <w:r>
            <w:rPr>
              <w:rFonts w:hint="eastAsia"/>
              <w:lang w:val="en-US" w:eastAsia="zh-CN"/>
            </w:rPr>
            <w:t>（二）完善市场准入与退出机制</w:t>
          </w:r>
          <w:r>
            <w:tab/>
          </w:r>
          <w:r>
            <w:fldChar w:fldCharType="begin"/>
          </w:r>
          <w:r>
            <w:instrText xml:space="preserve"> PAGEREF _Toc12799 \h </w:instrText>
          </w:r>
          <w:r>
            <w:fldChar w:fldCharType="separate"/>
          </w:r>
          <w:r>
            <w:t>3</w:t>
          </w:r>
          <w:r>
            <w:fldChar w:fldCharType="end"/>
          </w:r>
          <w:r>
            <w:rPr>
              <w:highlight w:val="none"/>
            </w:rPr>
            <w:fldChar w:fldCharType="end"/>
          </w:r>
        </w:p>
        <w:p w14:paraId="632B7D05">
          <w:pPr>
            <w:pStyle w:val="20"/>
            <w:tabs>
              <w:tab w:val="right" w:leader="dot" w:pos="8845"/>
            </w:tabs>
          </w:pPr>
          <w:r>
            <w:rPr>
              <w:highlight w:val="none"/>
            </w:rPr>
            <w:fldChar w:fldCharType="begin"/>
          </w:r>
          <w:r>
            <w:rPr>
              <w:highlight w:val="none"/>
            </w:rPr>
            <w:instrText xml:space="preserve"> HYPERLINK \l _Toc8499 </w:instrText>
          </w:r>
          <w:r>
            <w:rPr>
              <w:highlight w:val="none"/>
            </w:rPr>
            <w:fldChar w:fldCharType="separate"/>
          </w:r>
          <w:r>
            <w:rPr>
              <w:rFonts w:hint="eastAsia"/>
              <w:lang w:val="en-US" w:eastAsia="zh-CN"/>
            </w:rPr>
            <w:t>（三）健全社会信用体系</w:t>
          </w:r>
          <w:r>
            <w:tab/>
          </w:r>
          <w:r>
            <w:fldChar w:fldCharType="begin"/>
          </w:r>
          <w:r>
            <w:instrText xml:space="preserve"> PAGEREF _Toc8499 \h </w:instrText>
          </w:r>
          <w:r>
            <w:fldChar w:fldCharType="separate"/>
          </w:r>
          <w:r>
            <w:t>3</w:t>
          </w:r>
          <w:r>
            <w:fldChar w:fldCharType="end"/>
          </w:r>
          <w:r>
            <w:rPr>
              <w:highlight w:val="none"/>
            </w:rPr>
            <w:fldChar w:fldCharType="end"/>
          </w:r>
        </w:p>
        <w:p w14:paraId="4D0B0FCA">
          <w:pPr>
            <w:pStyle w:val="20"/>
            <w:tabs>
              <w:tab w:val="right" w:leader="dot" w:pos="8845"/>
            </w:tabs>
          </w:pPr>
          <w:r>
            <w:rPr>
              <w:highlight w:val="none"/>
            </w:rPr>
            <w:fldChar w:fldCharType="begin"/>
          </w:r>
          <w:r>
            <w:rPr>
              <w:highlight w:val="none"/>
            </w:rPr>
            <w:instrText xml:space="preserve"> HYPERLINK \l _Toc17225 </w:instrText>
          </w:r>
          <w:r>
            <w:rPr>
              <w:highlight w:val="none"/>
            </w:rPr>
            <w:fldChar w:fldCharType="separate"/>
          </w:r>
          <w:r>
            <w:rPr>
              <w:rFonts w:hint="eastAsia"/>
              <w:lang w:val="en-US" w:eastAsia="zh-CN"/>
            </w:rPr>
            <w:t>（四）强化要素保障</w:t>
          </w:r>
          <w:r>
            <w:tab/>
          </w:r>
          <w:r>
            <w:fldChar w:fldCharType="begin"/>
          </w:r>
          <w:r>
            <w:instrText xml:space="preserve"> PAGEREF _Toc17225 \h </w:instrText>
          </w:r>
          <w:r>
            <w:fldChar w:fldCharType="separate"/>
          </w:r>
          <w:r>
            <w:t>3</w:t>
          </w:r>
          <w:r>
            <w:fldChar w:fldCharType="end"/>
          </w:r>
          <w:r>
            <w:rPr>
              <w:highlight w:val="none"/>
            </w:rPr>
            <w:fldChar w:fldCharType="end"/>
          </w:r>
        </w:p>
        <w:p w14:paraId="79079D7F">
          <w:pPr>
            <w:pStyle w:val="20"/>
            <w:tabs>
              <w:tab w:val="right" w:leader="dot" w:pos="8845"/>
            </w:tabs>
          </w:pPr>
          <w:r>
            <w:rPr>
              <w:highlight w:val="none"/>
            </w:rPr>
            <w:fldChar w:fldCharType="begin"/>
          </w:r>
          <w:r>
            <w:rPr>
              <w:highlight w:val="none"/>
            </w:rPr>
            <w:instrText xml:space="preserve"> HYPERLINK \l _Toc609 </w:instrText>
          </w:r>
          <w:r>
            <w:rPr>
              <w:highlight w:val="none"/>
            </w:rPr>
            <w:fldChar w:fldCharType="separate"/>
          </w:r>
          <w:r>
            <w:rPr>
              <w:rFonts w:hint="eastAsia"/>
              <w:lang w:val="en-US" w:eastAsia="zh-CN"/>
            </w:rPr>
            <w:t>（五）提升产业营商环境</w:t>
          </w:r>
          <w:r>
            <w:tab/>
          </w:r>
          <w:r>
            <w:fldChar w:fldCharType="begin"/>
          </w:r>
          <w:r>
            <w:instrText xml:space="preserve"> PAGEREF _Toc609 \h </w:instrText>
          </w:r>
          <w:r>
            <w:fldChar w:fldCharType="separate"/>
          </w:r>
          <w:r>
            <w:t>5</w:t>
          </w:r>
          <w:r>
            <w:fldChar w:fldCharType="end"/>
          </w:r>
          <w:r>
            <w:rPr>
              <w:highlight w:val="none"/>
            </w:rPr>
            <w:fldChar w:fldCharType="end"/>
          </w:r>
        </w:p>
        <w:p w14:paraId="73A71B7F">
          <w:pPr>
            <w:pStyle w:val="16"/>
            <w:tabs>
              <w:tab w:val="right" w:leader="dot" w:pos="8845"/>
            </w:tabs>
          </w:pPr>
          <w:r>
            <w:rPr>
              <w:highlight w:val="none"/>
            </w:rPr>
            <w:fldChar w:fldCharType="begin"/>
          </w:r>
          <w:r>
            <w:rPr>
              <w:highlight w:val="none"/>
            </w:rPr>
            <w:instrText xml:space="preserve"> HYPERLINK \l _Toc14271 </w:instrText>
          </w:r>
          <w:r>
            <w:rPr>
              <w:highlight w:val="none"/>
            </w:rPr>
            <w:fldChar w:fldCharType="separate"/>
          </w:r>
          <w:r>
            <w:rPr>
              <w:rFonts w:hint="eastAsia"/>
              <w:lang w:val="en-US" w:eastAsia="zh-CN"/>
            </w:rPr>
            <w:t>三、夯实公平公正的法治环境</w:t>
          </w:r>
          <w:r>
            <w:tab/>
          </w:r>
          <w:r>
            <w:fldChar w:fldCharType="begin"/>
          </w:r>
          <w:r>
            <w:instrText xml:space="preserve"> PAGEREF _Toc14271 \h </w:instrText>
          </w:r>
          <w:r>
            <w:fldChar w:fldCharType="separate"/>
          </w:r>
          <w:r>
            <w:t>7</w:t>
          </w:r>
          <w:r>
            <w:fldChar w:fldCharType="end"/>
          </w:r>
          <w:r>
            <w:rPr>
              <w:highlight w:val="none"/>
            </w:rPr>
            <w:fldChar w:fldCharType="end"/>
          </w:r>
        </w:p>
        <w:p w14:paraId="6460D3C8">
          <w:pPr>
            <w:pStyle w:val="20"/>
            <w:tabs>
              <w:tab w:val="right" w:leader="dot" w:pos="8845"/>
            </w:tabs>
          </w:pPr>
          <w:r>
            <w:rPr>
              <w:highlight w:val="none"/>
            </w:rPr>
            <w:fldChar w:fldCharType="begin"/>
          </w:r>
          <w:r>
            <w:rPr>
              <w:highlight w:val="none"/>
            </w:rPr>
            <w:instrText xml:space="preserve"> HYPERLINK \l _Toc22436 </w:instrText>
          </w:r>
          <w:r>
            <w:rPr>
              <w:highlight w:val="none"/>
            </w:rPr>
            <w:fldChar w:fldCharType="separate"/>
          </w:r>
          <w:r>
            <w:rPr>
              <w:rFonts w:hint="eastAsia"/>
              <w:lang w:val="en-US" w:eastAsia="zh-CN"/>
            </w:rPr>
            <w:t>（一）完善执法标准化建设</w:t>
          </w:r>
          <w:r>
            <w:tab/>
          </w:r>
          <w:r>
            <w:fldChar w:fldCharType="begin"/>
          </w:r>
          <w:r>
            <w:instrText xml:space="preserve"> PAGEREF _Toc22436 \h </w:instrText>
          </w:r>
          <w:r>
            <w:fldChar w:fldCharType="separate"/>
          </w:r>
          <w:r>
            <w:t>7</w:t>
          </w:r>
          <w:r>
            <w:fldChar w:fldCharType="end"/>
          </w:r>
          <w:r>
            <w:rPr>
              <w:highlight w:val="none"/>
            </w:rPr>
            <w:fldChar w:fldCharType="end"/>
          </w:r>
        </w:p>
        <w:p w14:paraId="7D898DD3">
          <w:pPr>
            <w:pStyle w:val="20"/>
            <w:tabs>
              <w:tab w:val="right" w:leader="dot" w:pos="8845"/>
            </w:tabs>
          </w:pPr>
          <w:r>
            <w:rPr>
              <w:highlight w:val="none"/>
            </w:rPr>
            <w:fldChar w:fldCharType="begin"/>
          </w:r>
          <w:r>
            <w:rPr>
              <w:highlight w:val="none"/>
            </w:rPr>
            <w:instrText xml:space="preserve"> HYPERLINK \l _Toc12325 </w:instrText>
          </w:r>
          <w:r>
            <w:rPr>
              <w:highlight w:val="none"/>
            </w:rPr>
            <w:fldChar w:fldCharType="separate"/>
          </w:r>
          <w:r>
            <w:rPr>
              <w:rFonts w:hint="eastAsia"/>
              <w:lang w:val="en-US" w:eastAsia="zh-CN"/>
            </w:rPr>
            <w:t>（二）持续探索创新执法模式</w:t>
          </w:r>
          <w:r>
            <w:tab/>
          </w:r>
          <w:r>
            <w:fldChar w:fldCharType="begin"/>
          </w:r>
          <w:r>
            <w:instrText xml:space="preserve"> PAGEREF _Toc12325 \h </w:instrText>
          </w:r>
          <w:r>
            <w:fldChar w:fldCharType="separate"/>
          </w:r>
          <w:r>
            <w:t>7</w:t>
          </w:r>
          <w:r>
            <w:fldChar w:fldCharType="end"/>
          </w:r>
          <w:r>
            <w:rPr>
              <w:highlight w:val="none"/>
            </w:rPr>
            <w:fldChar w:fldCharType="end"/>
          </w:r>
        </w:p>
        <w:p w14:paraId="3705C586">
          <w:pPr>
            <w:pStyle w:val="20"/>
            <w:tabs>
              <w:tab w:val="right" w:leader="dot" w:pos="8845"/>
            </w:tabs>
          </w:pPr>
          <w:r>
            <w:rPr>
              <w:highlight w:val="none"/>
            </w:rPr>
            <w:fldChar w:fldCharType="begin"/>
          </w:r>
          <w:r>
            <w:rPr>
              <w:highlight w:val="none"/>
            </w:rPr>
            <w:instrText xml:space="preserve"> HYPERLINK \l _Toc21892 </w:instrText>
          </w:r>
          <w:r>
            <w:rPr>
              <w:highlight w:val="none"/>
            </w:rPr>
            <w:fldChar w:fldCharType="separate"/>
          </w:r>
          <w:r>
            <w:rPr>
              <w:rFonts w:hint="eastAsia"/>
              <w:lang w:val="en-US" w:eastAsia="zh-CN"/>
            </w:rPr>
            <w:t>（三）不断提升司法保障水平</w:t>
          </w:r>
          <w:r>
            <w:tab/>
          </w:r>
          <w:r>
            <w:fldChar w:fldCharType="begin"/>
          </w:r>
          <w:r>
            <w:instrText xml:space="preserve"> PAGEREF _Toc21892 \h </w:instrText>
          </w:r>
          <w:r>
            <w:fldChar w:fldCharType="separate"/>
          </w:r>
          <w:r>
            <w:t>8</w:t>
          </w:r>
          <w:r>
            <w:fldChar w:fldCharType="end"/>
          </w:r>
          <w:r>
            <w:rPr>
              <w:highlight w:val="none"/>
            </w:rPr>
            <w:fldChar w:fldCharType="end"/>
          </w:r>
        </w:p>
        <w:p w14:paraId="7F1FE0D2">
          <w:pPr>
            <w:pStyle w:val="16"/>
            <w:tabs>
              <w:tab w:val="right" w:leader="dot" w:pos="8845"/>
            </w:tabs>
          </w:pPr>
          <w:r>
            <w:rPr>
              <w:highlight w:val="none"/>
            </w:rPr>
            <w:fldChar w:fldCharType="begin"/>
          </w:r>
          <w:r>
            <w:rPr>
              <w:highlight w:val="none"/>
            </w:rPr>
            <w:instrText xml:space="preserve"> HYPERLINK \l _Toc4719 </w:instrText>
          </w:r>
          <w:r>
            <w:rPr>
              <w:highlight w:val="none"/>
            </w:rPr>
            <w:fldChar w:fldCharType="separate"/>
          </w:r>
          <w:r>
            <w:rPr>
              <w:rFonts w:hint="eastAsia"/>
              <w:lang w:val="en-US" w:eastAsia="zh-CN"/>
            </w:rPr>
            <w:t>四、</w:t>
          </w:r>
          <w:r>
            <w:rPr>
              <w:rFonts w:hint="eastAsia"/>
              <w:lang w:eastAsia="zh-CN"/>
            </w:rPr>
            <w:t>打造便捷高效的政务环境</w:t>
          </w:r>
          <w:r>
            <w:tab/>
          </w:r>
          <w:r>
            <w:fldChar w:fldCharType="begin"/>
          </w:r>
          <w:r>
            <w:instrText xml:space="preserve"> PAGEREF _Toc4719 \h </w:instrText>
          </w:r>
          <w:r>
            <w:fldChar w:fldCharType="separate"/>
          </w:r>
          <w:r>
            <w:t>10</w:t>
          </w:r>
          <w:r>
            <w:fldChar w:fldCharType="end"/>
          </w:r>
          <w:r>
            <w:rPr>
              <w:highlight w:val="none"/>
            </w:rPr>
            <w:fldChar w:fldCharType="end"/>
          </w:r>
        </w:p>
        <w:p w14:paraId="3F3B8CEE">
          <w:pPr>
            <w:pStyle w:val="20"/>
            <w:tabs>
              <w:tab w:val="right" w:leader="dot" w:pos="8845"/>
            </w:tabs>
          </w:pPr>
          <w:r>
            <w:rPr>
              <w:highlight w:val="none"/>
            </w:rPr>
            <w:fldChar w:fldCharType="begin"/>
          </w:r>
          <w:r>
            <w:rPr>
              <w:highlight w:val="none"/>
            </w:rPr>
            <w:instrText xml:space="preserve"> HYPERLINK \l _Toc26504 </w:instrText>
          </w:r>
          <w:r>
            <w:rPr>
              <w:highlight w:val="none"/>
            </w:rPr>
            <w:fldChar w:fldCharType="separate"/>
          </w:r>
          <w:r>
            <w:rPr>
              <w:rFonts w:hint="eastAsia"/>
              <w:lang w:val="en-US" w:eastAsia="zh-CN"/>
            </w:rPr>
            <w:t>（一）持续提升政务服务能力</w:t>
          </w:r>
          <w:r>
            <w:tab/>
          </w:r>
          <w:r>
            <w:fldChar w:fldCharType="begin"/>
          </w:r>
          <w:r>
            <w:instrText xml:space="preserve"> PAGEREF _Toc26504 \h </w:instrText>
          </w:r>
          <w:r>
            <w:fldChar w:fldCharType="separate"/>
          </w:r>
          <w:r>
            <w:t>10</w:t>
          </w:r>
          <w:r>
            <w:fldChar w:fldCharType="end"/>
          </w:r>
          <w:r>
            <w:rPr>
              <w:highlight w:val="none"/>
            </w:rPr>
            <w:fldChar w:fldCharType="end"/>
          </w:r>
        </w:p>
        <w:p w14:paraId="14E4A8C6">
          <w:pPr>
            <w:pStyle w:val="20"/>
            <w:tabs>
              <w:tab w:val="right" w:leader="dot" w:pos="8845"/>
            </w:tabs>
          </w:pPr>
          <w:r>
            <w:rPr>
              <w:highlight w:val="none"/>
            </w:rPr>
            <w:fldChar w:fldCharType="begin"/>
          </w:r>
          <w:r>
            <w:rPr>
              <w:highlight w:val="none"/>
            </w:rPr>
            <w:instrText xml:space="preserve"> HYPERLINK \l _Toc19427 </w:instrText>
          </w:r>
          <w:r>
            <w:rPr>
              <w:highlight w:val="none"/>
            </w:rPr>
            <w:fldChar w:fldCharType="separate"/>
          </w:r>
          <w:r>
            <w:rPr>
              <w:rFonts w:hint="eastAsia"/>
              <w:lang w:val="en-US" w:eastAsia="zh-CN"/>
            </w:rPr>
            <w:t>（二）推动数据赋能政务服务</w:t>
          </w:r>
          <w:r>
            <w:tab/>
          </w:r>
          <w:r>
            <w:fldChar w:fldCharType="begin"/>
          </w:r>
          <w:r>
            <w:instrText xml:space="preserve"> PAGEREF _Toc19427 \h </w:instrText>
          </w:r>
          <w:r>
            <w:fldChar w:fldCharType="separate"/>
          </w:r>
          <w:r>
            <w:t>11</w:t>
          </w:r>
          <w:r>
            <w:fldChar w:fldCharType="end"/>
          </w:r>
          <w:r>
            <w:rPr>
              <w:highlight w:val="none"/>
            </w:rPr>
            <w:fldChar w:fldCharType="end"/>
          </w:r>
        </w:p>
        <w:p w14:paraId="2160EF13">
          <w:pPr>
            <w:pStyle w:val="20"/>
            <w:tabs>
              <w:tab w:val="right" w:leader="dot" w:pos="8845"/>
            </w:tabs>
          </w:pPr>
          <w:r>
            <w:rPr>
              <w:highlight w:val="none"/>
            </w:rPr>
            <w:fldChar w:fldCharType="begin"/>
          </w:r>
          <w:r>
            <w:rPr>
              <w:highlight w:val="none"/>
            </w:rPr>
            <w:instrText xml:space="preserve"> HYPERLINK \l _Toc7755 </w:instrText>
          </w:r>
          <w:r>
            <w:rPr>
              <w:highlight w:val="none"/>
            </w:rPr>
            <w:fldChar w:fldCharType="separate"/>
          </w:r>
          <w:r>
            <w:rPr>
              <w:rFonts w:hint="eastAsia"/>
              <w:lang w:val="en-US" w:eastAsia="zh-CN"/>
            </w:rPr>
            <w:t>（三）探索“个性化增值服务”</w:t>
          </w:r>
          <w:r>
            <w:tab/>
          </w:r>
          <w:r>
            <w:fldChar w:fldCharType="begin"/>
          </w:r>
          <w:r>
            <w:instrText xml:space="preserve"> PAGEREF _Toc7755 \h </w:instrText>
          </w:r>
          <w:r>
            <w:fldChar w:fldCharType="separate"/>
          </w:r>
          <w:r>
            <w:t>11</w:t>
          </w:r>
          <w:r>
            <w:fldChar w:fldCharType="end"/>
          </w:r>
          <w:r>
            <w:rPr>
              <w:highlight w:val="none"/>
            </w:rPr>
            <w:fldChar w:fldCharType="end"/>
          </w:r>
        </w:p>
        <w:p w14:paraId="5F0230DF">
          <w:pPr>
            <w:pStyle w:val="16"/>
            <w:tabs>
              <w:tab w:val="right" w:leader="dot" w:pos="8845"/>
            </w:tabs>
          </w:pPr>
          <w:r>
            <w:rPr>
              <w:highlight w:val="none"/>
            </w:rPr>
            <w:fldChar w:fldCharType="begin"/>
          </w:r>
          <w:r>
            <w:rPr>
              <w:highlight w:val="none"/>
            </w:rPr>
            <w:instrText xml:space="preserve"> HYPERLINK \l _Toc26970 </w:instrText>
          </w:r>
          <w:r>
            <w:rPr>
              <w:highlight w:val="none"/>
            </w:rPr>
            <w:fldChar w:fldCharType="separate"/>
          </w:r>
          <w:r>
            <w:rPr>
              <w:rFonts w:hint="eastAsia"/>
              <w:lang w:val="en-US" w:eastAsia="zh-CN"/>
            </w:rPr>
            <w:t>五、构建便利的投资贸易环境</w:t>
          </w:r>
          <w:r>
            <w:tab/>
          </w:r>
          <w:r>
            <w:fldChar w:fldCharType="begin"/>
          </w:r>
          <w:r>
            <w:instrText xml:space="preserve"> PAGEREF _Toc26970 \h </w:instrText>
          </w:r>
          <w:r>
            <w:fldChar w:fldCharType="separate"/>
          </w:r>
          <w:r>
            <w:t>13</w:t>
          </w:r>
          <w:r>
            <w:fldChar w:fldCharType="end"/>
          </w:r>
          <w:r>
            <w:rPr>
              <w:highlight w:val="none"/>
            </w:rPr>
            <w:fldChar w:fldCharType="end"/>
          </w:r>
        </w:p>
        <w:p w14:paraId="3EE8949F">
          <w:pPr>
            <w:pStyle w:val="20"/>
            <w:tabs>
              <w:tab w:val="right" w:leader="dot" w:pos="8845"/>
            </w:tabs>
          </w:pPr>
          <w:r>
            <w:rPr>
              <w:highlight w:val="none"/>
            </w:rPr>
            <w:fldChar w:fldCharType="begin"/>
          </w:r>
          <w:r>
            <w:rPr>
              <w:highlight w:val="none"/>
            </w:rPr>
            <w:instrText xml:space="preserve"> HYPERLINK \l _Toc16202 </w:instrText>
          </w:r>
          <w:r>
            <w:rPr>
              <w:highlight w:val="none"/>
            </w:rPr>
            <w:fldChar w:fldCharType="separate"/>
          </w:r>
          <w:r>
            <w:rPr>
              <w:rFonts w:hint="eastAsia"/>
              <w:lang w:val="en-US" w:eastAsia="zh-CN"/>
            </w:rPr>
            <w:t>（一）打造制度型开放高地</w:t>
          </w:r>
          <w:r>
            <w:tab/>
          </w:r>
          <w:r>
            <w:fldChar w:fldCharType="begin"/>
          </w:r>
          <w:r>
            <w:instrText xml:space="preserve"> PAGEREF _Toc16202 \h </w:instrText>
          </w:r>
          <w:r>
            <w:fldChar w:fldCharType="separate"/>
          </w:r>
          <w:r>
            <w:t>13</w:t>
          </w:r>
          <w:r>
            <w:fldChar w:fldCharType="end"/>
          </w:r>
          <w:r>
            <w:rPr>
              <w:highlight w:val="none"/>
            </w:rPr>
            <w:fldChar w:fldCharType="end"/>
          </w:r>
        </w:p>
        <w:p w14:paraId="05984F66">
          <w:pPr>
            <w:pStyle w:val="20"/>
            <w:tabs>
              <w:tab w:val="right" w:leader="dot" w:pos="8845"/>
            </w:tabs>
          </w:pPr>
          <w:r>
            <w:rPr>
              <w:highlight w:val="none"/>
            </w:rPr>
            <w:fldChar w:fldCharType="begin"/>
          </w:r>
          <w:r>
            <w:rPr>
              <w:highlight w:val="none"/>
            </w:rPr>
            <w:instrText xml:space="preserve"> HYPERLINK \l _Toc24150 </w:instrText>
          </w:r>
          <w:r>
            <w:rPr>
              <w:highlight w:val="none"/>
            </w:rPr>
            <w:fldChar w:fldCharType="separate"/>
          </w:r>
          <w:r>
            <w:rPr>
              <w:rFonts w:hint="eastAsia"/>
              <w:lang w:val="en-US" w:eastAsia="zh-CN"/>
            </w:rPr>
            <w:t>（二）拓展国际协作网络</w:t>
          </w:r>
          <w:r>
            <w:tab/>
          </w:r>
          <w:r>
            <w:fldChar w:fldCharType="begin"/>
          </w:r>
          <w:r>
            <w:instrText xml:space="preserve"> PAGEREF _Toc24150 \h </w:instrText>
          </w:r>
          <w:r>
            <w:fldChar w:fldCharType="separate"/>
          </w:r>
          <w:r>
            <w:t>14</w:t>
          </w:r>
          <w:r>
            <w:fldChar w:fldCharType="end"/>
          </w:r>
          <w:r>
            <w:rPr>
              <w:highlight w:val="none"/>
            </w:rPr>
            <w:fldChar w:fldCharType="end"/>
          </w:r>
        </w:p>
        <w:p w14:paraId="4BBA905A">
          <w:pPr>
            <w:pStyle w:val="16"/>
            <w:tabs>
              <w:tab w:val="right" w:leader="dot" w:pos="8845"/>
            </w:tabs>
          </w:pPr>
          <w:r>
            <w:rPr>
              <w:highlight w:val="none"/>
            </w:rPr>
            <w:fldChar w:fldCharType="begin"/>
          </w:r>
          <w:r>
            <w:rPr>
              <w:highlight w:val="none"/>
            </w:rPr>
            <w:instrText xml:space="preserve"> HYPERLINK \l _Toc3082 </w:instrText>
          </w:r>
          <w:r>
            <w:rPr>
              <w:highlight w:val="none"/>
            </w:rPr>
            <w:fldChar w:fldCharType="separate"/>
          </w:r>
          <w:r>
            <w:rPr>
              <w:rFonts w:hint="eastAsia"/>
              <w:lang w:val="en-US" w:eastAsia="zh-CN"/>
            </w:rPr>
            <w:t>六、全面优化数字和人文环境</w:t>
          </w:r>
          <w:r>
            <w:tab/>
          </w:r>
          <w:r>
            <w:fldChar w:fldCharType="begin"/>
          </w:r>
          <w:r>
            <w:instrText xml:space="preserve"> PAGEREF _Toc3082 \h </w:instrText>
          </w:r>
          <w:r>
            <w:fldChar w:fldCharType="separate"/>
          </w:r>
          <w:r>
            <w:t>15</w:t>
          </w:r>
          <w:r>
            <w:fldChar w:fldCharType="end"/>
          </w:r>
          <w:r>
            <w:rPr>
              <w:highlight w:val="none"/>
            </w:rPr>
            <w:fldChar w:fldCharType="end"/>
          </w:r>
        </w:p>
        <w:p w14:paraId="3635562F">
          <w:pPr>
            <w:pStyle w:val="20"/>
            <w:tabs>
              <w:tab w:val="right" w:leader="dot" w:pos="8845"/>
            </w:tabs>
          </w:pPr>
          <w:r>
            <w:rPr>
              <w:highlight w:val="none"/>
            </w:rPr>
            <w:fldChar w:fldCharType="begin"/>
          </w:r>
          <w:r>
            <w:rPr>
              <w:highlight w:val="none"/>
            </w:rPr>
            <w:instrText xml:space="preserve"> HYPERLINK \l _Toc23056 </w:instrText>
          </w:r>
          <w:r>
            <w:rPr>
              <w:highlight w:val="none"/>
            </w:rPr>
            <w:fldChar w:fldCharType="separate"/>
          </w:r>
          <w:r>
            <w:rPr>
              <w:rFonts w:hint="eastAsia"/>
              <w:lang w:val="en-US" w:eastAsia="zh-CN"/>
            </w:rPr>
            <w:t>（一）推动数字社会建设</w:t>
          </w:r>
          <w:r>
            <w:tab/>
          </w:r>
          <w:r>
            <w:fldChar w:fldCharType="begin"/>
          </w:r>
          <w:r>
            <w:instrText xml:space="preserve"> PAGEREF _Toc23056 \h </w:instrText>
          </w:r>
          <w:r>
            <w:fldChar w:fldCharType="separate"/>
          </w:r>
          <w:r>
            <w:t>15</w:t>
          </w:r>
          <w:r>
            <w:fldChar w:fldCharType="end"/>
          </w:r>
          <w:r>
            <w:rPr>
              <w:highlight w:val="none"/>
            </w:rPr>
            <w:fldChar w:fldCharType="end"/>
          </w:r>
        </w:p>
        <w:p w14:paraId="7C85248D">
          <w:pPr>
            <w:pStyle w:val="20"/>
            <w:tabs>
              <w:tab w:val="right" w:leader="dot" w:pos="8845"/>
            </w:tabs>
          </w:pPr>
          <w:r>
            <w:rPr>
              <w:highlight w:val="none"/>
            </w:rPr>
            <w:fldChar w:fldCharType="begin"/>
          </w:r>
          <w:r>
            <w:rPr>
              <w:highlight w:val="none"/>
            </w:rPr>
            <w:instrText xml:space="preserve"> HYPERLINK \l _Toc17291 </w:instrText>
          </w:r>
          <w:r>
            <w:rPr>
              <w:highlight w:val="none"/>
            </w:rPr>
            <w:fldChar w:fldCharType="separate"/>
          </w:r>
          <w:r>
            <w:rPr>
              <w:rFonts w:hint="eastAsia"/>
              <w:lang w:val="en-US" w:eastAsia="zh-CN"/>
            </w:rPr>
            <w:t>（二）优化基本</w:t>
          </w:r>
          <w:r>
            <w:rPr>
              <w:rFonts w:hint="eastAsia"/>
            </w:rPr>
            <w:t>公共服务</w:t>
          </w:r>
          <w:r>
            <w:rPr>
              <w:rFonts w:hint="eastAsia"/>
              <w:lang w:val="en-US" w:eastAsia="zh-CN"/>
            </w:rPr>
            <w:t>供给</w:t>
          </w:r>
          <w:r>
            <w:tab/>
          </w:r>
          <w:r>
            <w:fldChar w:fldCharType="begin"/>
          </w:r>
          <w:r>
            <w:instrText xml:space="preserve"> PAGEREF _Toc17291 \h </w:instrText>
          </w:r>
          <w:r>
            <w:fldChar w:fldCharType="separate"/>
          </w:r>
          <w:r>
            <w:t>16</w:t>
          </w:r>
          <w:r>
            <w:fldChar w:fldCharType="end"/>
          </w:r>
          <w:r>
            <w:rPr>
              <w:highlight w:val="none"/>
            </w:rPr>
            <w:fldChar w:fldCharType="end"/>
          </w:r>
        </w:p>
        <w:p w14:paraId="795EE90C">
          <w:pPr>
            <w:pStyle w:val="20"/>
            <w:tabs>
              <w:tab w:val="right" w:leader="dot" w:pos="8845"/>
            </w:tabs>
          </w:pPr>
          <w:r>
            <w:rPr>
              <w:highlight w:val="none"/>
            </w:rPr>
            <w:fldChar w:fldCharType="begin"/>
          </w:r>
          <w:r>
            <w:rPr>
              <w:highlight w:val="none"/>
            </w:rPr>
            <w:instrText xml:space="preserve"> HYPERLINK \l _Toc16807 </w:instrText>
          </w:r>
          <w:r>
            <w:rPr>
              <w:highlight w:val="none"/>
            </w:rPr>
            <w:fldChar w:fldCharType="separate"/>
          </w:r>
          <w:r>
            <w:rPr>
              <w:rFonts w:hint="eastAsia"/>
              <w:lang w:val="en-US" w:eastAsia="zh-CN"/>
            </w:rPr>
            <w:t>（三）升级特色公共服务效能</w:t>
          </w:r>
          <w:r>
            <w:tab/>
          </w:r>
          <w:r>
            <w:fldChar w:fldCharType="begin"/>
          </w:r>
          <w:r>
            <w:instrText xml:space="preserve"> PAGEREF _Toc16807 \h </w:instrText>
          </w:r>
          <w:r>
            <w:fldChar w:fldCharType="separate"/>
          </w:r>
          <w:r>
            <w:t>16</w:t>
          </w:r>
          <w:r>
            <w:fldChar w:fldCharType="end"/>
          </w:r>
          <w:r>
            <w:rPr>
              <w:highlight w:val="none"/>
            </w:rPr>
            <w:fldChar w:fldCharType="end"/>
          </w:r>
        </w:p>
        <w:p w14:paraId="2075ADC5">
          <w:pPr>
            <w:pStyle w:val="20"/>
            <w:tabs>
              <w:tab w:val="right" w:leader="dot" w:pos="8845"/>
            </w:tabs>
          </w:pPr>
          <w:r>
            <w:rPr>
              <w:highlight w:val="none"/>
            </w:rPr>
            <w:fldChar w:fldCharType="begin"/>
          </w:r>
          <w:r>
            <w:rPr>
              <w:highlight w:val="none"/>
            </w:rPr>
            <w:instrText xml:space="preserve"> HYPERLINK \l _Toc14363 </w:instrText>
          </w:r>
          <w:r>
            <w:rPr>
              <w:highlight w:val="none"/>
            </w:rPr>
            <w:fldChar w:fldCharType="separate"/>
          </w:r>
          <w:r>
            <w:rPr>
              <w:rFonts w:hint="eastAsia"/>
              <w:lang w:val="en-US" w:eastAsia="zh-CN"/>
            </w:rPr>
            <w:t>（四）创新</w:t>
          </w:r>
          <w:r>
            <w:t>文旅服务体验</w:t>
          </w:r>
          <w:r>
            <w:tab/>
          </w:r>
          <w:r>
            <w:fldChar w:fldCharType="begin"/>
          </w:r>
          <w:r>
            <w:instrText xml:space="preserve"> PAGEREF _Toc14363 \h </w:instrText>
          </w:r>
          <w:r>
            <w:fldChar w:fldCharType="separate"/>
          </w:r>
          <w:r>
            <w:t>18</w:t>
          </w:r>
          <w:r>
            <w:fldChar w:fldCharType="end"/>
          </w:r>
          <w:r>
            <w:rPr>
              <w:highlight w:val="none"/>
            </w:rPr>
            <w:fldChar w:fldCharType="end"/>
          </w:r>
        </w:p>
        <w:p w14:paraId="37BB9AAB">
          <w:pPr>
            <w:pStyle w:val="16"/>
            <w:tabs>
              <w:tab w:val="right" w:leader="dot" w:pos="8845"/>
            </w:tabs>
          </w:pPr>
          <w:r>
            <w:rPr>
              <w:highlight w:val="none"/>
            </w:rPr>
            <w:fldChar w:fldCharType="begin"/>
          </w:r>
          <w:r>
            <w:rPr>
              <w:highlight w:val="none"/>
            </w:rPr>
            <w:instrText xml:space="preserve"> HYPERLINK \l _Toc24854 </w:instrText>
          </w:r>
          <w:r>
            <w:rPr>
              <w:highlight w:val="none"/>
            </w:rPr>
            <w:fldChar w:fldCharType="separate"/>
          </w:r>
          <w:r>
            <w:rPr>
              <w:rFonts w:hint="eastAsia"/>
              <w:lang w:val="en-US" w:eastAsia="zh-CN"/>
            </w:rPr>
            <w:t>七、营造京津冀营商环境</w:t>
          </w:r>
          <w:r>
            <w:tab/>
          </w:r>
          <w:r>
            <w:fldChar w:fldCharType="begin"/>
          </w:r>
          <w:r>
            <w:instrText xml:space="preserve"> PAGEREF _Toc24854 \h </w:instrText>
          </w:r>
          <w:r>
            <w:fldChar w:fldCharType="separate"/>
          </w:r>
          <w:r>
            <w:t>20</w:t>
          </w:r>
          <w:r>
            <w:fldChar w:fldCharType="end"/>
          </w:r>
          <w:r>
            <w:rPr>
              <w:highlight w:val="none"/>
            </w:rPr>
            <w:fldChar w:fldCharType="end"/>
          </w:r>
        </w:p>
        <w:p w14:paraId="7F9BC8A2">
          <w:pPr>
            <w:pStyle w:val="20"/>
            <w:tabs>
              <w:tab w:val="right" w:leader="dot" w:pos="8845"/>
            </w:tabs>
          </w:pPr>
          <w:r>
            <w:rPr>
              <w:highlight w:val="none"/>
            </w:rPr>
            <w:fldChar w:fldCharType="begin"/>
          </w:r>
          <w:r>
            <w:rPr>
              <w:highlight w:val="none"/>
            </w:rPr>
            <w:instrText xml:space="preserve"> HYPERLINK \l _Toc25868 </w:instrText>
          </w:r>
          <w:r>
            <w:rPr>
              <w:highlight w:val="none"/>
            </w:rPr>
            <w:fldChar w:fldCharType="separate"/>
          </w:r>
          <w:r>
            <w:rPr>
              <w:rFonts w:hint="eastAsia"/>
              <w:lang w:val="en-US" w:eastAsia="zh-CN"/>
            </w:rPr>
            <w:t>（一）强化重点领域协同发展</w:t>
          </w:r>
          <w:r>
            <w:tab/>
          </w:r>
          <w:r>
            <w:fldChar w:fldCharType="begin"/>
          </w:r>
          <w:r>
            <w:instrText xml:space="preserve"> PAGEREF _Toc25868 \h </w:instrText>
          </w:r>
          <w:r>
            <w:fldChar w:fldCharType="separate"/>
          </w:r>
          <w:r>
            <w:t>20</w:t>
          </w:r>
          <w:r>
            <w:fldChar w:fldCharType="end"/>
          </w:r>
          <w:r>
            <w:rPr>
              <w:highlight w:val="none"/>
            </w:rPr>
            <w:fldChar w:fldCharType="end"/>
          </w:r>
        </w:p>
        <w:p w14:paraId="34FB3634">
          <w:pPr>
            <w:pStyle w:val="20"/>
            <w:tabs>
              <w:tab w:val="right" w:leader="dot" w:pos="8845"/>
            </w:tabs>
          </w:pPr>
          <w:r>
            <w:rPr>
              <w:highlight w:val="none"/>
            </w:rPr>
            <w:fldChar w:fldCharType="begin"/>
          </w:r>
          <w:r>
            <w:rPr>
              <w:highlight w:val="none"/>
            </w:rPr>
            <w:instrText xml:space="preserve"> HYPERLINK \l _Toc12452 </w:instrText>
          </w:r>
          <w:r>
            <w:rPr>
              <w:highlight w:val="none"/>
            </w:rPr>
            <w:fldChar w:fldCharType="separate"/>
          </w:r>
          <w:r>
            <w:rPr>
              <w:rFonts w:hint="eastAsia"/>
              <w:lang w:val="en-US" w:eastAsia="zh-CN"/>
            </w:rPr>
            <w:t>（二）促进区域协同创新</w:t>
          </w:r>
          <w:r>
            <w:tab/>
          </w:r>
          <w:r>
            <w:fldChar w:fldCharType="begin"/>
          </w:r>
          <w:r>
            <w:instrText xml:space="preserve"> PAGEREF _Toc12452 \h </w:instrText>
          </w:r>
          <w:r>
            <w:fldChar w:fldCharType="separate"/>
          </w:r>
          <w:r>
            <w:t>21</w:t>
          </w:r>
          <w:r>
            <w:fldChar w:fldCharType="end"/>
          </w:r>
          <w:r>
            <w:rPr>
              <w:highlight w:val="none"/>
            </w:rPr>
            <w:fldChar w:fldCharType="end"/>
          </w:r>
        </w:p>
        <w:p w14:paraId="4B9AD611">
          <w:pPr>
            <w:pStyle w:val="20"/>
            <w:tabs>
              <w:tab w:val="right" w:leader="dot" w:pos="8845"/>
            </w:tabs>
          </w:pPr>
          <w:r>
            <w:rPr>
              <w:highlight w:val="none"/>
            </w:rPr>
            <w:fldChar w:fldCharType="begin"/>
          </w:r>
          <w:r>
            <w:rPr>
              <w:highlight w:val="none"/>
            </w:rPr>
            <w:instrText xml:space="preserve"> HYPERLINK \l _Toc2782 </w:instrText>
          </w:r>
          <w:r>
            <w:rPr>
              <w:highlight w:val="none"/>
            </w:rPr>
            <w:fldChar w:fldCharType="separate"/>
          </w:r>
          <w:r>
            <w:rPr>
              <w:rFonts w:hint="eastAsia"/>
              <w:lang w:val="en-US" w:eastAsia="zh-CN"/>
            </w:rPr>
            <w:t>（三）</w:t>
          </w:r>
          <w:r>
            <w:rPr>
              <w:rFonts w:hint="eastAsia"/>
              <w:lang w:eastAsia="zh-CN"/>
            </w:rPr>
            <w:t>推动公共服务共建共享</w:t>
          </w:r>
          <w:r>
            <w:tab/>
          </w:r>
          <w:r>
            <w:fldChar w:fldCharType="begin"/>
          </w:r>
          <w:r>
            <w:instrText xml:space="preserve"> PAGEREF _Toc2782 \h </w:instrText>
          </w:r>
          <w:r>
            <w:fldChar w:fldCharType="separate"/>
          </w:r>
          <w:r>
            <w:t>21</w:t>
          </w:r>
          <w:r>
            <w:fldChar w:fldCharType="end"/>
          </w:r>
          <w:r>
            <w:rPr>
              <w:highlight w:val="none"/>
            </w:rPr>
            <w:fldChar w:fldCharType="end"/>
          </w:r>
        </w:p>
        <w:p w14:paraId="54AE6A90">
          <w:pPr>
            <w:pStyle w:val="16"/>
            <w:tabs>
              <w:tab w:val="right" w:leader="dot" w:pos="8845"/>
            </w:tabs>
          </w:pPr>
          <w:r>
            <w:rPr>
              <w:highlight w:val="none"/>
            </w:rPr>
            <w:fldChar w:fldCharType="begin"/>
          </w:r>
          <w:r>
            <w:rPr>
              <w:highlight w:val="none"/>
            </w:rPr>
            <w:instrText xml:space="preserve"> HYPERLINK \l _Toc15069 </w:instrText>
          </w:r>
          <w:r>
            <w:rPr>
              <w:highlight w:val="none"/>
            </w:rPr>
            <w:fldChar w:fldCharType="separate"/>
          </w:r>
          <w:r>
            <w:rPr>
              <w:rFonts w:hint="eastAsia"/>
              <w:highlight w:val="none"/>
              <w:lang w:val="en-US" w:eastAsia="zh-CN"/>
            </w:rPr>
            <w:t>八、保障措施</w:t>
          </w:r>
          <w:r>
            <w:tab/>
          </w:r>
          <w:r>
            <w:fldChar w:fldCharType="begin"/>
          </w:r>
          <w:r>
            <w:instrText xml:space="preserve"> PAGEREF _Toc15069 \h </w:instrText>
          </w:r>
          <w:r>
            <w:fldChar w:fldCharType="separate"/>
          </w:r>
          <w:r>
            <w:t>22</w:t>
          </w:r>
          <w:r>
            <w:fldChar w:fldCharType="end"/>
          </w:r>
          <w:r>
            <w:rPr>
              <w:highlight w:val="none"/>
            </w:rPr>
            <w:fldChar w:fldCharType="end"/>
          </w:r>
        </w:p>
        <w:p w14:paraId="3974AB07">
          <w:pPr>
            <w:rPr>
              <w:highlight w:val="none"/>
            </w:rPr>
          </w:pPr>
          <w:r>
            <w:rPr>
              <w:highlight w:val="none"/>
            </w:rPr>
            <w:fldChar w:fldCharType="end"/>
          </w:r>
        </w:p>
      </w:sdtContent>
    </w:sdt>
    <w:p w14:paraId="6B29CEFC">
      <w:pPr>
        <w:rPr>
          <w:highlight w:val="none"/>
        </w:rPr>
      </w:pPr>
    </w:p>
    <w:p w14:paraId="250D2FE1">
      <w:pPr>
        <w:rPr>
          <w:rFonts w:hint="eastAsia"/>
          <w:b/>
          <w:bCs/>
          <w:color w:val="auto"/>
          <w:highlight w:val="none"/>
          <w:shd w:val="clear" w:color="auto" w:fill="auto"/>
          <w:lang w:val="en-US" w:eastAsia="zh-CN"/>
        </w:rPr>
      </w:pPr>
      <w:r>
        <w:rPr>
          <w:rFonts w:hint="eastAsia"/>
          <w:b/>
          <w:bCs/>
          <w:color w:val="auto"/>
          <w:highlight w:val="none"/>
          <w:shd w:val="clear" w:color="auto" w:fill="auto"/>
          <w:lang w:val="en-US" w:eastAsia="zh-CN"/>
        </w:rPr>
        <w:br w:type="page"/>
      </w:r>
    </w:p>
    <w:p w14:paraId="5DEAA4CC">
      <w:pPr>
        <w:pageBreakBefore w:val="0"/>
        <w:kinsoku/>
        <w:wordWrap/>
        <w:autoSpaceDE/>
        <w:autoSpaceDN/>
        <w:bidi w:val="0"/>
        <w:spacing w:line="560" w:lineRule="exact"/>
        <w:ind w:left="0" w:leftChars="0" w:firstLine="0" w:firstLineChars="0"/>
        <w:jc w:val="center"/>
        <w:rPr>
          <w:rFonts w:hint="eastAsia"/>
          <w:b/>
          <w:bCs/>
          <w:color w:val="auto"/>
          <w:highlight w:val="none"/>
          <w:shd w:val="clear" w:color="auto" w:fill="auto"/>
          <w:lang w:val="en-US" w:eastAsia="zh-CN"/>
        </w:rPr>
      </w:pPr>
      <w:r>
        <w:rPr>
          <w:rFonts w:hint="eastAsia"/>
          <w:b/>
          <w:bCs/>
          <w:color w:val="auto"/>
          <w:highlight w:val="none"/>
          <w:shd w:val="clear" w:color="auto" w:fill="auto"/>
          <w:lang w:val="en-US" w:eastAsia="zh-CN"/>
        </w:rPr>
        <w:t>前  言</w:t>
      </w:r>
    </w:p>
    <w:p w14:paraId="5C5CD74E">
      <w:pPr>
        <w:pStyle w:val="13"/>
        <w:rPr>
          <w:rFonts w:hint="eastAsia"/>
          <w:lang w:val="en-US" w:eastAsia="zh-CN"/>
        </w:rPr>
      </w:pPr>
      <w:r>
        <w:rPr>
          <w:rFonts w:hint="eastAsia"/>
          <w:lang w:val="en-US" w:eastAsia="zh-CN"/>
        </w:rPr>
        <w:t>“十五五”时期是我国全面建设社会主义现代化国家开局起步的关键时期，是推动高质量发展、构建新发展格局的战略攻坚期。新一轮科技革命和产业变革加速突破，优化营商环境是激发市场活力、增强区域竞争力、服务国家现代化大局的重要支撑。</w:t>
      </w:r>
    </w:p>
    <w:p w14:paraId="17B5F407">
      <w:pPr>
        <w:pageBreakBefore w:val="0"/>
        <w:kinsoku/>
        <w:wordWrap/>
        <w:autoSpaceDE/>
        <w:autoSpaceDN/>
        <w:bidi w:val="0"/>
        <w:spacing w:line="560" w:lineRule="exact"/>
        <w:ind w:firstLine="640"/>
        <w:rPr>
          <w:rFonts w:hint="eastAsia"/>
          <w:highlight w:val="none"/>
        </w:rPr>
      </w:pPr>
      <w:r>
        <w:rPr>
          <w:rFonts w:hint="eastAsia"/>
          <w:highlight w:val="none"/>
        </w:rPr>
        <w:t>党的十八大以来，习近平总书记高度重视优化营商环境，作出一系列重要论述，为我们做好新时代营商环境工作指明了方向。党的二十届</w:t>
      </w:r>
      <w:r>
        <w:rPr>
          <w:rFonts w:hint="eastAsia"/>
          <w:highlight w:val="none"/>
          <w:lang w:val="en-US" w:eastAsia="zh-CN"/>
        </w:rPr>
        <w:t>四</w:t>
      </w:r>
      <w:r>
        <w:rPr>
          <w:rFonts w:hint="eastAsia"/>
          <w:highlight w:val="none"/>
        </w:rPr>
        <w:t>中全会</w:t>
      </w:r>
      <w:r>
        <w:rPr>
          <w:rFonts w:hint="eastAsia"/>
          <w:highlight w:val="none"/>
          <w:lang w:val="en-US" w:eastAsia="zh-CN"/>
        </w:rPr>
        <w:t>再次强调</w:t>
      </w:r>
      <w:r>
        <w:rPr>
          <w:rFonts w:hint="eastAsia"/>
          <w:highlight w:val="none"/>
        </w:rPr>
        <w:t>打造市场化法治化国际化一流营商环境。北京市以“北京服务”品牌为引领，持续推进制度型开放和体制机制创新，</w:t>
      </w:r>
      <w:r>
        <w:rPr>
          <w:rFonts w:hint="eastAsia"/>
          <w:highlight w:val="none"/>
          <w:lang w:val="en-US" w:eastAsia="zh-CN"/>
        </w:rPr>
        <w:t>打造</w:t>
      </w:r>
      <w:r>
        <w:rPr>
          <w:rFonts w:hint="eastAsia"/>
          <w:highlight w:val="none"/>
        </w:rPr>
        <w:t>国际一流的营商环境。昌平区作为</w:t>
      </w:r>
      <w:r>
        <w:rPr>
          <w:rFonts w:hint="eastAsia"/>
          <w:highlight w:val="none"/>
          <w:lang w:val="en-US" w:eastAsia="zh-CN"/>
        </w:rPr>
        <w:t>北京市</w:t>
      </w:r>
      <w:r>
        <w:rPr>
          <w:rFonts w:hint="eastAsia"/>
          <w:highlight w:val="none"/>
        </w:rPr>
        <w:t>重点发展的平原新城和北京（京津冀）国际科创中心承载区，在优化营商环境方面率先推出了一系列改革创新举措，</w:t>
      </w:r>
      <w:r>
        <w:rPr>
          <w:rFonts w:hint="eastAsia"/>
          <w:highlight w:val="none"/>
          <w:lang w:eastAsia="zh-CN"/>
        </w:rPr>
        <w:t>推动营商环境建设跃上新高度</w:t>
      </w:r>
      <w:r>
        <w:rPr>
          <w:rFonts w:hint="eastAsia"/>
          <w:highlight w:val="none"/>
          <w:lang w:val="en-US" w:eastAsia="zh-CN"/>
        </w:rPr>
        <w:t>，</w:t>
      </w:r>
      <w:r>
        <w:rPr>
          <w:rFonts w:hint="eastAsia"/>
          <w:highlight w:val="none"/>
        </w:rPr>
        <w:t>市场准入更加便捷、法治保障不断增强、政务服务持续优化、产业生态加快形成。然而，对标国际先进规则和市场主体期待，在政务服务效率、投资贸易便利</w:t>
      </w:r>
      <w:r>
        <w:rPr>
          <w:rFonts w:hint="eastAsia"/>
          <w:highlight w:val="none"/>
          <w:lang w:val="en-US" w:eastAsia="zh-CN"/>
        </w:rPr>
        <w:t>度</w:t>
      </w:r>
      <w:r>
        <w:rPr>
          <w:rFonts w:hint="eastAsia"/>
          <w:highlight w:val="none"/>
        </w:rPr>
        <w:t>、产业生态协同性、人才发展环境等方面仍存在提升空间。</w:t>
      </w:r>
    </w:p>
    <w:p w14:paraId="1C7F80F3">
      <w:pPr>
        <w:pageBreakBefore w:val="0"/>
        <w:kinsoku/>
        <w:wordWrap/>
        <w:autoSpaceDE/>
        <w:autoSpaceDN/>
        <w:bidi w:val="0"/>
        <w:spacing w:line="560" w:lineRule="exact"/>
        <w:ind w:firstLine="640"/>
        <w:rPr>
          <w:rFonts w:hint="default"/>
          <w:highlight w:val="none"/>
          <w:lang w:val="en-US" w:eastAsia="zh-CN"/>
        </w:rPr>
      </w:pPr>
      <w:r>
        <w:rPr>
          <w:rFonts w:hint="eastAsia" w:cs="Times New Roman"/>
          <w:szCs w:val="32"/>
          <w:highlight w:val="none"/>
        </w:rPr>
        <w:t>《昌平区“十五五”时期优化营商环境规划》</w:t>
      </w:r>
      <w:r>
        <w:rPr>
          <w:rFonts w:hint="eastAsia"/>
          <w:highlight w:val="none"/>
          <w:lang w:val="en-US" w:eastAsia="zh-CN"/>
        </w:rPr>
        <w:t>坚持</w:t>
      </w:r>
      <w:r>
        <w:rPr>
          <w:rFonts w:hint="eastAsia"/>
          <w:highlight w:val="none"/>
        </w:rPr>
        <w:t>以习近平新时代中国特色社会主义思想和习近平总书记对北京重要讲话精神为指导，依据《中共中央关于制定国民经济和社会发展第十五个五年规划的建议》《中共中央关于进一步全面深化改革 推进中国式现代化的决定》《中共北京</w:t>
      </w:r>
      <w:r>
        <w:rPr>
          <w:rFonts w:hint="eastAsia"/>
          <w:highlight w:val="none"/>
          <w:lang w:val="en-US" w:eastAsia="zh-CN"/>
        </w:rPr>
        <w:t>市</w:t>
      </w:r>
      <w:r>
        <w:rPr>
          <w:rFonts w:hint="eastAsia"/>
          <w:highlight w:val="none"/>
        </w:rPr>
        <w:t>昌平区委关于制定国民经济和社会发展第十五个五年规划的建议》编制，与昌平区规划紧密衔接，系统阐明区委、区政府战略意图，明确“十五五”时期全区</w:t>
      </w:r>
      <w:r>
        <w:rPr>
          <w:rFonts w:hint="eastAsia"/>
          <w:highlight w:val="none"/>
          <w:lang w:val="en-US" w:eastAsia="zh-CN"/>
        </w:rPr>
        <w:t>营商环境</w:t>
      </w:r>
      <w:r>
        <w:rPr>
          <w:rFonts w:hint="eastAsia"/>
          <w:highlight w:val="none"/>
        </w:rPr>
        <w:t>发展的</w:t>
      </w:r>
      <w:r>
        <w:rPr>
          <w:rFonts w:hint="eastAsia"/>
          <w:highlight w:val="none"/>
          <w:lang w:val="en-US" w:eastAsia="zh-CN"/>
        </w:rPr>
        <w:t>整体</w:t>
      </w:r>
      <w:r>
        <w:rPr>
          <w:rFonts w:hint="eastAsia"/>
          <w:highlight w:val="none"/>
        </w:rPr>
        <w:t>目标</w:t>
      </w:r>
      <w:r>
        <w:rPr>
          <w:rFonts w:hint="eastAsia"/>
          <w:highlight w:val="none"/>
          <w:lang w:val="en-US" w:eastAsia="zh-CN"/>
        </w:rPr>
        <w:t>和主要</w:t>
      </w:r>
      <w:r>
        <w:rPr>
          <w:rFonts w:hint="eastAsia"/>
          <w:highlight w:val="none"/>
        </w:rPr>
        <w:t>任务。</w:t>
      </w:r>
      <w:r>
        <w:rPr>
          <w:rFonts w:hint="default"/>
          <w:highlight w:val="none"/>
          <w:lang w:val="en-US" w:eastAsia="zh-CN"/>
        </w:rPr>
        <w:t>旨在打造市场化、法治化、</w:t>
      </w:r>
      <w:r>
        <w:rPr>
          <w:rFonts w:hint="eastAsia"/>
          <w:highlight w:val="none"/>
          <w:lang w:val="en-US" w:eastAsia="zh-CN"/>
        </w:rPr>
        <w:t>便利化、</w:t>
      </w:r>
      <w:r>
        <w:rPr>
          <w:rFonts w:hint="default"/>
          <w:highlight w:val="none"/>
          <w:lang w:val="en-US" w:eastAsia="zh-CN"/>
        </w:rPr>
        <w:t>国际化营商环境，进一步激发</w:t>
      </w:r>
      <w:r>
        <w:rPr>
          <w:rFonts w:hint="eastAsia"/>
          <w:highlight w:val="none"/>
          <w:lang w:val="en-US" w:eastAsia="zh-CN"/>
        </w:rPr>
        <w:t>经营</w:t>
      </w:r>
      <w:r>
        <w:rPr>
          <w:rFonts w:hint="default"/>
          <w:highlight w:val="none"/>
          <w:lang w:val="en-US" w:eastAsia="zh-CN"/>
        </w:rPr>
        <w:t>主体活力，是全区各部门、各镇街履行职责、实施管理、提供服务的基本依据。</w:t>
      </w:r>
    </w:p>
    <w:p w14:paraId="5750B6E2">
      <w:pPr>
        <w:pageBreakBefore w:val="0"/>
        <w:kinsoku/>
        <w:wordWrap/>
        <w:autoSpaceDE/>
        <w:autoSpaceDN/>
        <w:bidi w:val="0"/>
        <w:spacing w:line="560" w:lineRule="exact"/>
        <w:rPr>
          <w:rFonts w:hint="eastAsia"/>
          <w:color w:val="auto"/>
          <w:highlight w:val="none"/>
          <w:shd w:val="clear" w:color="auto" w:fill="auto"/>
          <w:lang w:val="en-US" w:eastAsia="zh-CN"/>
        </w:rPr>
        <w:sectPr>
          <w:footerReference r:id="rId6" w:type="default"/>
          <w:pgSz w:w="11906" w:h="16838"/>
          <w:pgMar w:top="2098" w:right="1474" w:bottom="1984" w:left="1587" w:header="850" w:footer="992" w:gutter="0"/>
          <w:pgNumType w:start="1"/>
          <w:cols w:space="425" w:num="1"/>
          <w:docGrid w:type="linesAndChars" w:linePitch="381" w:charSpace="0"/>
        </w:sectPr>
      </w:pPr>
      <w:r>
        <w:rPr>
          <w:rFonts w:hint="eastAsia"/>
          <w:color w:val="auto"/>
          <w:highlight w:val="none"/>
          <w:shd w:val="clear" w:color="auto" w:fill="auto"/>
          <w:lang w:val="en-US" w:eastAsia="zh-CN"/>
        </w:rPr>
        <w:t>规划期限：2026年—2030年。</w:t>
      </w:r>
    </w:p>
    <w:p w14:paraId="1D967A46">
      <w:pPr>
        <w:pStyle w:val="2"/>
        <w:pageBreakBefore w:val="0"/>
        <w:kinsoku/>
        <w:wordWrap/>
        <w:autoSpaceDE/>
        <w:autoSpaceDN/>
        <w:bidi w:val="0"/>
        <w:spacing w:line="560" w:lineRule="exact"/>
        <w:rPr>
          <w:rFonts w:hint="default"/>
          <w:highlight w:val="none"/>
          <w:lang w:val="en-US" w:eastAsia="zh-CN"/>
        </w:rPr>
      </w:pPr>
      <w:bookmarkStart w:id="0" w:name="_Toc31042"/>
      <w:bookmarkStart w:id="1" w:name="_Toc26017"/>
      <w:bookmarkStart w:id="2" w:name="_Toc2849"/>
      <w:bookmarkStart w:id="3" w:name="_Toc4025"/>
      <w:bookmarkStart w:id="4" w:name="_Toc7906"/>
      <w:bookmarkStart w:id="5" w:name="_Toc7523"/>
      <w:bookmarkStart w:id="6" w:name="_Toc5973"/>
      <w:bookmarkStart w:id="7" w:name="_Toc19689"/>
      <w:bookmarkStart w:id="8" w:name="_Toc14771"/>
      <w:bookmarkStart w:id="9" w:name="_Toc27404"/>
      <w:bookmarkStart w:id="10" w:name="_Toc31511"/>
      <w:bookmarkStart w:id="11" w:name="_Toc7012"/>
      <w:bookmarkStart w:id="12" w:name="_Toc19800"/>
      <w:bookmarkStart w:id="13" w:name="_Toc3172"/>
      <w:bookmarkStart w:id="14" w:name="_Toc21875"/>
      <w:bookmarkStart w:id="15" w:name="_Toc7539"/>
      <w:r>
        <w:rPr>
          <w:rFonts w:hint="eastAsia"/>
          <w:highlight w:val="none"/>
          <w:lang w:val="en-US" w:eastAsia="zh-CN"/>
        </w:rPr>
        <w:t>一、</w:t>
      </w:r>
      <w:bookmarkEnd w:id="0"/>
      <w:bookmarkEnd w:id="1"/>
      <w:bookmarkEnd w:id="2"/>
      <w:bookmarkEnd w:id="3"/>
      <w:bookmarkEnd w:id="4"/>
      <w:bookmarkEnd w:id="5"/>
      <w:bookmarkEnd w:id="6"/>
      <w:bookmarkEnd w:id="7"/>
      <w:bookmarkEnd w:id="8"/>
      <w:bookmarkEnd w:id="9"/>
      <w:bookmarkEnd w:id="10"/>
      <w:bookmarkEnd w:id="11"/>
      <w:bookmarkEnd w:id="12"/>
      <w:r>
        <w:rPr>
          <w:rFonts w:hint="eastAsia"/>
          <w:highlight w:val="none"/>
          <w:lang w:val="en-US" w:eastAsia="zh-CN"/>
        </w:rPr>
        <w:t>总体要求</w:t>
      </w:r>
      <w:bookmarkEnd w:id="13"/>
      <w:bookmarkEnd w:id="14"/>
      <w:bookmarkEnd w:id="15"/>
    </w:p>
    <w:p w14:paraId="3B0DEEB2">
      <w:pPr>
        <w:pStyle w:val="3"/>
        <w:pageBreakBefore w:val="0"/>
        <w:kinsoku/>
        <w:wordWrap/>
        <w:autoSpaceDE/>
        <w:autoSpaceDN/>
        <w:bidi w:val="0"/>
        <w:spacing w:line="560" w:lineRule="exact"/>
        <w:rPr>
          <w:rFonts w:hint="eastAsia"/>
          <w:highlight w:val="none"/>
          <w:lang w:val="en-US" w:eastAsia="zh-CN"/>
        </w:rPr>
      </w:pPr>
      <w:bookmarkStart w:id="16" w:name="_Toc9719"/>
      <w:bookmarkStart w:id="17" w:name="_Toc2902"/>
      <w:bookmarkStart w:id="18" w:name="_Toc2992"/>
      <w:bookmarkStart w:id="19" w:name="_Toc29200"/>
      <w:bookmarkStart w:id="20" w:name="_Toc6170"/>
      <w:bookmarkStart w:id="21" w:name="_Toc18340"/>
      <w:bookmarkStart w:id="22" w:name="_Toc16745"/>
      <w:bookmarkStart w:id="23" w:name="_Toc8846"/>
      <w:bookmarkStart w:id="24" w:name="_Toc27618"/>
      <w:bookmarkStart w:id="25" w:name="_Toc13501"/>
      <w:bookmarkStart w:id="26" w:name="_Toc7352"/>
      <w:bookmarkStart w:id="27" w:name="_Toc19822"/>
      <w:bookmarkStart w:id="28" w:name="_Toc4630"/>
      <w:bookmarkStart w:id="29" w:name="_Toc12527"/>
      <w:bookmarkStart w:id="30" w:name="_Toc5768"/>
      <w:r>
        <w:rPr>
          <w:rFonts w:hint="eastAsia"/>
          <w:highlight w:val="none"/>
          <w:lang w:val="en-US" w:eastAsia="zh-CN"/>
        </w:rPr>
        <w:t>（一）指导思想</w:t>
      </w:r>
      <w:bookmarkEnd w:id="16"/>
      <w:bookmarkEnd w:id="17"/>
      <w:bookmarkEnd w:id="18"/>
    </w:p>
    <w:bookmarkEnd w:id="19"/>
    <w:bookmarkEnd w:id="20"/>
    <w:bookmarkEnd w:id="21"/>
    <w:p w14:paraId="6865A8CF">
      <w:pPr>
        <w:rPr>
          <w:rFonts w:hint="eastAsia"/>
          <w:b w:val="0"/>
          <w:bCs w:val="0"/>
          <w:highlight w:val="none"/>
          <w:shd w:val="clear" w:color="auto" w:fill="auto"/>
          <w:lang w:val="en-US" w:eastAsia="zh-CN"/>
        </w:rPr>
      </w:pPr>
      <w:r>
        <w:rPr>
          <w:rFonts w:hint="eastAsia"/>
          <w:b w:val="0"/>
          <w:bCs w:val="0"/>
          <w:highlight w:val="none"/>
          <w:shd w:val="clear" w:color="auto" w:fill="auto"/>
          <w:lang w:val="en-US" w:eastAsia="zh-CN"/>
        </w:rPr>
        <w:t>以习近平新时代中国特色社会主义思想为指导，深入贯彻党的二十大和二十届历次全会精神，深入落实习近平总书记对北京重要讲话精神，立足新发展阶段，贯彻落实新发展理念。锚定“一个打造样板、四个走在前列”的目标要求，推动“四区”建设提质升级，奋力建成科教引领、宜业宜居的国际一流现代化新城。持续升级涉企服务，整合“昌通办”“昌快干”营商品牌,“昌慧达”“昌相伴”“昌守护”服务品牌，构建营商服务品牌矩阵，打造北京服务昌平样板。</w:t>
      </w:r>
    </w:p>
    <w:p w14:paraId="2809E12C">
      <w:pPr>
        <w:rPr>
          <w:rFonts w:hint="eastAsia"/>
          <w:lang w:val="en-US" w:eastAsia="zh-CN"/>
        </w:rPr>
      </w:pPr>
      <w:r>
        <w:rPr>
          <w:rFonts w:hint="eastAsia"/>
          <w:b/>
          <w:bCs/>
          <w:shd w:val="clear"/>
          <w:lang w:val="en-US" w:eastAsia="zh-CN"/>
        </w:rPr>
        <w:t>重点把握好以下原则：</w:t>
      </w:r>
      <w:r>
        <w:rPr>
          <w:rFonts w:hint="default"/>
          <w:b/>
          <w:bCs/>
          <w:shd w:val="clear"/>
          <w:lang w:val="en-US" w:eastAsia="zh-CN"/>
        </w:rPr>
        <w:t>坚持尊重主体。</w:t>
      </w:r>
      <w:r>
        <w:rPr>
          <w:rFonts w:hint="default"/>
          <w:shd w:val="clear"/>
          <w:lang w:val="en-US" w:eastAsia="zh-CN"/>
        </w:rPr>
        <w:t>充分尊重经营主体，企业和群众有所呼、改革和服务有所应。</w:t>
      </w:r>
      <w:r>
        <w:rPr>
          <w:rFonts w:hint="eastAsia"/>
          <w:b/>
          <w:bCs/>
          <w:highlight w:val="none"/>
          <w:shd w:val="clear" w:color="auto" w:fill="auto"/>
          <w:lang w:val="en-US" w:eastAsia="zh-CN"/>
        </w:rPr>
        <w:t>坚持改革创新。</w:t>
      </w:r>
      <w:r>
        <w:rPr>
          <w:rFonts w:hint="eastAsia"/>
          <w:highlight w:val="none"/>
          <w:shd w:val="clear" w:color="auto" w:fill="auto"/>
          <w:lang w:val="en-US" w:eastAsia="zh-CN"/>
        </w:rPr>
        <w:t>在未来科学城、回天等区域和重点领域率先开展原创性、差异化探索。鼓励街镇因地制宜微改革、微创新，破解“最后一公里”难题。</w:t>
      </w:r>
      <w:r>
        <w:rPr>
          <w:rFonts w:hint="eastAsia"/>
          <w:b/>
          <w:bCs/>
          <w:highlight w:val="none"/>
          <w:shd w:val="clear" w:color="auto" w:fill="auto"/>
          <w:lang w:val="en-US" w:eastAsia="zh-CN"/>
        </w:rPr>
        <w:t>坚持法治思维。</w:t>
      </w:r>
      <w:r>
        <w:rPr>
          <w:rFonts w:hint="eastAsia"/>
          <w:b w:val="0"/>
          <w:bCs w:val="0"/>
          <w:highlight w:val="none"/>
          <w:shd w:val="clear" w:color="auto" w:fill="auto"/>
          <w:lang w:val="en-US" w:eastAsia="zh-CN"/>
        </w:rPr>
        <w:t>将“昌通办”“昌快干”等有效实践固化为制度，强化知识产权保护、科技成果转化法治保障。</w:t>
      </w:r>
      <w:r>
        <w:rPr>
          <w:rFonts w:hint="eastAsia"/>
          <w:b/>
          <w:bCs/>
          <w:highlight w:val="none"/>
          <w:shd w:val="clear" w:color="auto" w:fill="auto"/>
          <w:lang w:val="en-US" w:eastAsia="zh-CN"/>
        </w:rPr>
        <w:t>坚持系统思维。</w:t>
      </w:r>
      <w:r>
        <w:rPr>
          <w:rFonts w:hint="eastAsia"/>
          <w:b w:val="0"/>
          <w:bCs w:val="0"/>
          <w:highlight w:val="none"/>
          <w:shd w:val="clear" w:color="auto" w:fill="auto"/>
          <w:lang w:val="en-US" w:eastAsia="zh-CN"/>
        </w:rPr>
        <w:t>树立“大营商”观念，部门、街镇、园区协同联动，跨层级跨部门政策共商、数据共享、服务共促，全区一盘棋。</w:t>
      </w:r>
      <w:r>
        <w:rPr>
          <w:rFonts w:hint="default"/>
          <w:b/>
          <w:bCs/>
          <w:lang w:val="en-US" w:eastAsia="zh-CN"/>
        </w:rPr>
        <w:t>坚持数字赋能。</w:t>
      </w:r>
      <w:r>
        <w:rPr>
          <w:rFonts w:hint="eastAsia"/>
          <w:lang w:val="en-US" w:eastAsia="zh-CN"/>
        </w:rPr>
        <w:t>以信息技术推动流程重塑和改革集成，建设数字化智能化政府运行新形态，提升治理能力现代化水平。</w:t>
      </w:r>
    </w:p>
    <w:p w14:paraId="5C247580">
      <w:pPr>
        <w:pStyle w:val="3"/>
        <w:pageBreakBefore w:val="0"/>
        <w:kinsoku/>
        <w:wordWrap/>
        <w:autoSpaceDE/>
        <w:autoSpaceDN/>
        <w:bidi w:val="0"/>
        <w:spacing w:line="560" w:lineRule="exact"/>
        <w:rPr>
          <w:rFonts w:hint="default"/>
          <w:highlight w:val="none"/>
          <w:lang w:val="en-US" w:eastAsia="zh-CN"/>
        </w:rPr>
      </w:pPr>
      <w:bookmarkStart w:id="31" w:name="_Toc18786"/>
      <w:bookmarkStart w:id="32" w:name="_Toc19167"/>
      <w:bookmarkStart w:id="33" w:name="_Toc5636"/>
      <w:bookmarkStart w:id="34" w:name="_Toc6199"/>
      <w:bookmarkStart w:id="35" w:name="_Toc20509"/>
      <w:bookmarkStart w:id="36" w:name="_Toc25576"/>
      <w:r>
        <w:rPr>
          <w:rFonts w:hint="eastAsia"/>
          <w:highlight w:val="none"/>
          <w:lang w:val="en-US" w:eastAsia="zh-CN"/>
        </w:rPr>
        <w:t>（二）发展目标</w:t>
      </w:r>
      <w:bookmarkEnd w:id="31"/>
      <w:bookmarkEnd w:id="32"/>
      <w:bookmarkEnd w:id="33"/>
      <w:bookmarkEnd w:id="34"/>
      <w:bookmarkEnd w:id="35"/>
      <w:bookmarkEnd w:id="36"/>
    </w:p>
    <w:p w14:paraId="5D850ED7">
      <w:pPr>
        <w:rPr>
          <w:rFonts w:hint="eastAsia"/>
        </w:rPr>
      </w:pPr>
      <w:r>
        <w:rPr>
          <w:rFonts w:hint="eastAsia"/>
          <w:lang w:val="en-US" w:eastAsia="zh-CN"/>
        </w:rPr>
        <w:t>到2030年，</w:t>
      </w:r>
      <w:r>
        <w:rPr>
          <w:rFonts w:hint="eastAsia"/>
        </w:rPr>
        <w:t>形成“</w:t>
      </w:r>
      <w:r>
        <w:rPr>
          <w:rFonts w:hint="eastAsia"/>
          <w:lang w:val="en-US" w:eastAsia="zh-CN"/>
        </w:rPr>
        <w:t>活力、公正、高效、开放、品质、协同</w:t>
      </w:r>
      <w:r>
        <w:rPr>
          <w:rFonts w:hint="eastAsia"/>
          <w:lang w:eastAsia="zh-CN"/>
        </w:rPr>
        <w:t>”</w:t>
      </w:r>
      <w:r>
        <w:rPr>
          <w:rFonts w:hint="eastAsia"/>
        </w:rPr>
        <w:t>的营商环境格局，</w:t>
      </w:r>
      <w:r>
        <w:rPr>
          <w:rFonts w:hint="eastAsia"/>
          <w:lang w:val="en-US" w:eastAsia="zh-CN"/>
        </w:rPr>
        <w:t>打造世界级科技创新廊道，</w:t>
      </w:r>
      <w:r>
        <w:rPr>
          <w:rFonts w:hint="eastAsia"/>
        </w:rPr>
        <w:t>推动营商环境实现新发展。</w:t>
      </w:r>
    </w:p>
    <w:p w14:paraId="3156065D">
      <w:pPr>
        <w:bidi w:val="0"/>
        <w:rPr>
          <w:rFonts w:hint="eastAsia"/>
          <w:lang w:eastAsia="zh-CN"/>
        </w:rPr>
      </w:pPr>
      <w:r>
        <w:rPr>
          <w:rFonts w:hint="eastAsia"/>
          <w:lang w:eastAsia="zh-CN"/>
        </w:rPr>
        <w:t>——</w:t>
      </w:r>
      <w:r>
        <w:rPr>
          <w:rFonts w:hint="eastAsia"/>
          <w:lang w:val="en-US" w:eastAsia="zh-CN"/>
        </w:rPr>
        <w:t>市场环境活力迸发，</w:t>
      </w:r>
      <w:r>
        <w:rPr>
          <w:rFonts w:hint="eastAsia"/>
        </w:rPr>
        <w:t>落实全国统一大市场建设，充分激发各类经营主体活力</w:t>
      </w:r>
      <w:r>
        <w:rPr>
          <w:rFonts w:hint="eastAsia"/>
          <w:lang w:eastAsia="zh-CN"/>
        </w:rPr>
        <w:t>。</w:t>
      </w:r>
      <w:bookmarkEnd w:id="22"/>
      <w:bookmarkEnd w:id="23"/>
      <w:bookmarkEnd w:id="24"/>
      <w:bookmarkEnd w:id="25"/>
      <w:bookmarkEnd w:id="26"/>
      <w:bookmarkEnd w:id="27"/>
      <w:bookmarkEnd w:id="28"/>
      <w:bookmarkEnd w:id="29"/>
      <w:bookmarkEnd w:id="30"/>
      <w:bookmarkStart w:id="37" w:name="_Toc11727"/>
      <w:bookmarkStart w:id="38" w:name="_Toc30517"/>
      <w:bookmarkStart w:id="39" w:name="_Toc20743"/>
      <w:bookmarkStart w:id="40" w:name="_Toc9776"/>
      <w:bookmarkStart w:id="41" w:name="_Toc2421"/>
    </w:p>
    <w:p w14:paraId="4E672F5D">
      <w:pPr>
        <w:bidi w:val="0"/>
        <w:rPr>
          <w:rFonts w:hint="eastAsia"/>
          <w:lang w:val="en-US" w:eastAsia="zh-CN"/>
        </w:rPr>
      </w:pPr>
      <w:r>
        <w:rPr>
          <w:rFonts w:hint="eastAsia"/>
          <w:lang w:eastAsia="zh-CN"/>
        </w:rPr>
        <w:t>——</w:t>
      </w:r>
      <w:r>
        <w:rPr>
          <w:rFonts w:hint="eastAsia"/>
          <w:lang w:val="en-US" w:eastAsia="zh-CN"/>
        </w:rPr>
        <w:t>法治环境公平公正</w:t>
      </w:r>
      <w:r>
        <w:rPr>
          <w:rFonts w:hint="eastAsia" w:ascii="仿宋_GB2312" w:hAnsi="仿宋_GB2312" w:eastAsia="仿宋_GB2312" w:cs="仿宋_GB2312"/>
          <w:i w:val="0"/>
          <w:iCs w:val="0"/>
          <w:caps w:val="0"/>
          <w:color w:val="1F2329"/>
          <w:spacing w:val="0"/>
          <w:sz w:val="32"/>
          <w:szCs w:val="24"/>
          <w:highlight w:val="none"/>
          <w:shd w:val="clear" w:color="auto" w:fill="auto"/>
        </w:rPr>
        <w:t>，构建</w:t>
      </w:r>
      <w:r>
        <w:rPr>
          <w:rFonts w:hint="eastAsia"/>
          <w:lang w:val="en-US" w:eastAsia="zh-CN"/>
        </w:rPr>
        <w:t>规范有序</w:t>
      </w:r>
      <w:r>
        <w:rPr>
          <w:rFonts w:hint="eastAsia" w:ascii="仿宋_GB2312" w:hAnsi="仿宋_GB2312" w:eastAsia="仿宋_GB2312" w:cs="仿宋_GB2312"/>
          <w:i w:val="0"/>
          <w:iCs w:val="0"/>
          <w:caps w:val="0"/>
          <w:color w:val="1F2329"/>
          <w:spacing w:val="0"/>
          <w:sz w:val="32"/>
          <w:szCs w:val="24"/>
          <w:highlight w:val="none"/>
          <w:shd w:val="clear" w:color="auto" w:fill="auto"/>
        </w:rPr>
        <w:t>营商环境，以法治赋能高质量发展。</w:t>
      </w:r>
    </w:p>
    <w:p w14:paraId="5EB5C511">
      <w:pPr>
        <w:bidi w:val="0"/>
        <w:rPr>
          <w:rFonts w:hint="eastAsia"/>
          <w:lang w:val="en-US" w:eastAsia="zh-CN"/>
        </w:rPr>
      </w:pPr>
      <w:r>
        <w:rPr>
          <w:rFonts w:hint="eastAsia"/>
          <w:lang w:val="en-US" w:eastAsia="zh-CN"/>
        </w:rPr>
        <w:t>——政务服务便捷高效，深化数据共享资源统筹，实现“好办、快办、办成”的服务目标。</w:t>
      </w:r>
    </w:p>
    <w:p w14:paraId="480F416E">
      <w:pPr>
        <w:bidi w:val="0"/>
        <w:rPr>
          <w:rFonts w:hint="eastAsia"/>
          <w:lang w:val="en-US" w:eastAsia="zh-CN"/>
        </w:rPr>
      </w:pPr>
      <w:r>
        <w:rPr>
          <w:rFonts w:hint="eastAsia"/>
          <w:lang w:val="en-US" w:eastAsia="zh-CN"/>
        </w:rPr>
        <w:t>——投资贸易环境便利开放，打造全球创新网络枢纽，为区域发展新质生产力营造良好国际环境。</w:t>
      </w:r>
    </w:p>
    <w:p w14:paraId="50F5D54C">
      <w:pPr>
        <w:bidi w:val="0"/>
        <w:rPr>
          <w:rFonts w:hint="eastAsia"/>
          <w:lang w:val="en-US" w:eastAsia="zh-CN"/>
        </w:rPr>
      </w:pPr>
      <w:r>
        <w:rPr>
          <w:rFonts w:hint="eastAsia"/>
          <w:lang w:val="en-US" w:eastAsia="zh-CN"/>
        </w:rPr>
        <w:t>——数字人文融合提质，统筹民生提质与人文赋能，推动形成“宜居宜业、近悦远来”的综合发展环境。</w:t>
      </w:r>
    </w:p>
    <w:p w14:paraId="61256C56">
      <w:pPr>
        <w:bidi w:val="0"/>
        <w:rPr>
          <w:rFonts w:hint="default"/>
          <w:lang w:val="en-US" w:eastAsia="zh-CN"/>
        </w:rPr>
      </w:pPr>
      <w:r>
        <w:rPr>
          <w:rFonts w:hint="eastAsia"/>
          <w:lang w:val="en-US" w:eastAsia="zh-CN"/>
        </w:rPr>
        <w:t>——京津冀营商环境协同共建，推进资质互认、标准统一、数据共享，加快形成共建共治共享的发展新格局。</w:t>
      </w:r>
    </w:p>
    <w:p w14:paraId="0B55CFFE">
      <w:pPr>
        <w:pStyle w:val="2"/>
        <w:bidi w:val="0"/>
        <w:rPr>
          <w:rFonts w:hint="eastAsia"/>
          <w:lang w:val="en-US" w:eastAsia="zh-CN"/>
        </w:rPr>
      </w:pPr>
      <w:bookmarkStart w:id="42" w:name="_Toc30557"/>
      <w:bookmarkStart w:id="43" w:name="_Toc18364"/>
      <w:r>
        <w:rPr>
          <w:rFonts w:hint="eastAsia"/>
          <w:lang w:val="en-US" w:eastAsia="zh-CN"/>
        </w:rPr>
        <w:t>二、</w:t>
      </w:r>
      <w:r>
        <w:rPr>
          <w:rFonts w:hint="eastAsia"/>
        </w:rPr>
        <w:t>打造活力迸发的市场环境</w:t>
      </w:r>
      <w:bookmarkEnd w:id="37"/>
      <w:bookmarkEnd w:id="38"/>
      <w:bookmarkEnd w:id="39"/>
      <w:bookmarkEnd w:id="40"/>
      <w:bookmarkEnd w:id="41"/>
      <w:bookmarkEnd w:id="42"/>
      <w:bookmarkEnd w:id="43"/>
    </w:p>
    <w:p w14:paraId="4ACF7664">
      <w:pPr>
        <w:pStyle w:val="3"/>
        <w:bidi w:val="0"/>
        <w:rPr>
          <w:rFonts w:hint="eastAsia"/>
          <w:lang w:val="en-US" w:eastAsia="zh-CN"/>
        </w:rPr>
      </w:pPr>
      <w:bookmarkStart w:id="44" w:name="_Toc10186"/>
      <w:bookmarkStart w:id="45" w:name="_Toc23682"/>
      <w:bookmarkStart w:id="46" w:name="_Toc9161"/>
      <w:bookmarkStart w:id="47" w:name="_Toc6323"/>
      <w:bookmarkStart w:id="48" w:name="_Toc6377"/>
      <w:bookmarkStart w:id="49" w:name="_Toc3826"/>
      <w:bookmarkStart w:id="50" w:name="_Toc24990"/>
      <w:bookmarkStart w:id="51" w:name="_Toc9403"/>
      <w:bookmarkStart w:id="52" w:name="_Toc22153"/>
      <w:bookmarkStart w:id="53" w:name="_Toc14068"/>
      <w:r>
        <w:rPr>
          <w:rFonts w:hint="eastAsia"/>
          <w:lang w:val="en-US" w:eastAsia="zh-CN"/>
        </w:rPr>
        <w:t>（一）推动重点领域公平竞争改革</w:t>
      </w:r>
      <w:bookmarkEnd w:id="44"/>
      <w:bookmarkEnd w:id="45"/>
    </w:p>
    <w:p w14:paraId="48BED3F1">
      <w:pPr>
        <w:pageBreakBefore w:val="0"/>
        <w:kinsoku/>
        <w:wordWrap/>
        <w:autoSpaceDE/>
        <w:autoSpaceDN/>
        <w:bidi w:val="0"/>
        <w:spacing w:line="560" w:lineRule="exact"/>
        <w:rPr>
          <w:rFonts w:hint="eastAsia"/>
          <w:color w:val="auto"/>
          <w:highlight w:val="none"/>
          <w:shd w:val="clear" w:color="auto" w:fill="auto"/>
          <w:lang w:val="en-US" w:eastAsia="zh-CN"/>
        </w:rPr>
      </w:pPr>
      <w:r>
        <w:rPr>
          <w:rFonts w:hint="eastAsia"/>
          <w:b/>
          <w:bCs/>
          <w:color w:val="auto"/>
          <w:highlight w:val="none"/>
          <w:shd w:val="clear" w:color="auto" w:fill="auto"/>
          <w:lang w:val="en-US" w:eastAsia="zh-CN"/>
        </w:rPr>
        <w:t>强化公平竞争制度保障。</w:t>
      </w:r>
      <w:r>
        <w:rPr>
          <w:rFonts w:hint="eastAsia"/>
          <w:b w:val="0"/>
          <w:bCs w:val="0"/>
          <w:color w:val="auto"/>
          <w:highlight w:val="none"/>
          <w:shd w:val="clear" w:color="auto" w:fill="auto"/>
          <w:lang w:val="en-US" w:eastAsia="zh-CN"/>
        </w:rPr>
        <w:t>落实全国统一大市场要求，推动</w:t>
      </w:r>
      <w:r>
        <w:rPr>
          <w:rFonts w:hint="default"/>
          <w:b w:val="0"/>
          <w:bCs w:val="0"/>
          <w:color w:val="auto"/>
          <w:highlight w:val="none"/>
          <w:shd w:val="clear" w:color="auto" w:fill="auto"/>
          <w:lang w:val="en-US" w:eastAsia="zh-CN"/>
        </w:rPr>
        <w:t>公平竞争审查</w:t>
      </w:r>
      <w:r>
        <w:rPr>
          <w:rFonts w:hint="eastAsia"/>
          <w:b w:val="0"/>
          <w:bCs w:val="0"/>
          <w:color w:val="auto"/>
          <w:highlight w:val="none"/>
          <w:shd w:val="clear" w:color="auto" w:fill="auto"/>
          <w:lang w:val="en-US" w:eastAsia="zh-CN"/>
        </w:rPr>
        <w:t>操作</w:t>
      </w:r>
      <w:r>
        <w:rPr>
          <w:rFonts w:hint="default"/>
          <w:b w:val="0"/>
          <w:bCs w:val="0"/>
          <w:color w:val="auto"/>
          <w:highlight w:val="none"/>
          <w:shd w:val="clear" w:color="auto" w:fill="auto"/>
          <w:lang w:val="en-US" w:eastAsia="zh-CN"/>
        </w:rPr>
        <w:t>指引</w:t>
      </w:r>
      <w:r>
        <w:rPr>
          <w:rFonts w:hint="eastAsia"/>
          <w:b w:val="0"/>
          <w:bCs w:val="0"/>
          <w:color w:val="auto"/>
          <w:highlight w:val="none"/>
          <w:shd w:val="clear" w:color="auto" w:fill="auto"/>
          <w:lang w:val="en-US" w:eastAsia="zh-CN"/>
        </w:rPr>
        <w:t>落地。落实并解读</w:t>
      </w:r>
      <w:r>
        <w:rPr>
          <w:rFonts w:hint="default"/>
          <w:b w:val="0"/>
          <w:bCs w:val="0"/>
          <w:color w:val="auto"/>
          <w:highlight w:val="none"/>
          <w:shd w:val="clear" w:color="auto" w:fill="auto"/>
          <w:lang w:val="en-US" w:eastAsia="zh-CN"/>
        </w:rPr>
        <w:t>网络交易平台经营者系列合规指引，提升企业合规管理水平。</w:t>
      </w:r>
      <w:r>
        <w:rPr>
          <w:rFonts w:hint="eastAsia" w:cs="仿宋_GB2312"/>
          <w:color w:val="auto"/>
          <w:highlight w:val="none"/>
          <w:shd w:val="clear" w:color="auto" w:fill="auto"/>
          <w:lang w:val="en-US" w:eastAsia="zh-CN"/>
        </w:rPr>
        <w:t>纵深</w:t>
      </w:r>
      <w:r>
        <w:rPr>
          <w:rFonts w:hint="eastAsia" w:ascii="仿宋_GB2312" w:hAnsi="仿宋_GB2312" w:cs="仿宋_GB2312"/>
          <w:color w:val="auto"/>
          <w:highlight w:val="none"/>
          <w:shd w:val="clear" w:color="auto" w:fill="auto"/>
        </w:rPr>
        <w:t>推进“远程异地评标”，助力交易流程更加公平、公正，提高评标质量和效率。</w:t>
      </w:r>
      <w:r>
        <w:rPr>
          <w:rFonts w:hint="eastAsia" w:cs="仿宋_GB2312"/>
          <w:color w:val="auto"/>
          <w:highlight w:val="none"/>
          <w:shd w:val="clear" w:color="auto" w:fill="auto"/>
          <w:lang w:val="en-US" w:eastAsia="zh-CN"/>
        </w:rPr>
        <w:t>持续</w:t>
      </w:r>
      <w:r>
        <w:rPr>
          <w:rFonts w:hint="eastAsia"/>
          <w:color w:val="auto"/>
          <w:highlight w:val="none"/>
          <w:shd w:val="clear" w:color="auto" w:fill="auto"/>
          <w:lang w:val="en-US" w:eastAsia="zh-CN"/>
        </w:rPr>
        <w:t>清理招投标、政府采购中变相设定所有制、规模等歧视性条款。完善招投标领域评标委员会对异常低价的甄别处理程序，鼓励招标文件提前公示。推行招投标领域“违规行为信用公示+行政处罚”双惩戒模式，实施政府采购合同逾期支付智能预警。</w:t>
      </w:r>
    </w:p>
    <w:p w14:paraId="495A3320">
      <w:pPr>
        <w:pStyle w:val="3"/>
        <w:bidi w:val="0"/>
        <w:rPr>
          <w:rFonts w:hint="eastAsia"/>
          <w:lang w:val="en-US" w:eastAsia="zh-CN"/>
        </w:rPr>
      </w:pPr>
      <w:bookmarkStart w:id="54" w:name="_Toc12799"/>
      <w:bookmarkStart w:id="55" w:name="_Toc10591"/>
      <w:r>
        <w:rPr>
          <w:rFonts w:hint="eastAsia"/>
          <w:lang w:val="en-US" w:eastAsia="zh-CN"/>
        </w:rPr>
        <w:t>（二）完善市场准入与退出机制</w:t>
      </w:r>
      <w:bookmarkEnd w:id="46"/>
      <w:bookmarkEnd w:id="47"/>
      <w:bookmarkEnd w:id="48"/>
      <w:bookmarkEnd w:id="49"/>
      <w:bookmarkEnd w:id="50"/>
      <w:bookmarkEnd w:id="51"/>
      <w:bookmarkEnd w:id="52"/>
      <w:bookmarkEnd w:id="54"/>
      <w:bookmarkEnd w:id="55"/>
    </w:p>
    <w:p w14:paraId="675F2B4D">
      <w:pPr>
        <w:pageBreakBefore w:val="0"/>
        <w:kinsoku/>
        <w:wordWrap/>
        <w:autoSpaceDE/>
        <w:autoSpaceDN/>
        <w:bidi w:val="0"/>
        <w:spacing w:line="560" w:lineRule="exact"/>
        <w:ind w:firstLine="640"/>
        <w:rPr>
          <w:rFonts w:hint="eastAsia"/>
          <w:color w:val="auto"/>
          <w:highlight w:val="none"/>
          <w:shd w:val="clear" w:color="auto" w:fill="auto"/>
          <w:lang w:val="en-US" w:eastAsia="zh-CN"/>
        </w:rPr>
      </w:pPr>
      <w:r>
        <w:rPr>
          <w:rFonts w:hint="eastAsia" w:cs="仿宋_GB2312"/>
          <w:b/>
          <w:bCs/>
          <w:color w:val="auto"/>
          <w:w w:val="100"/>
          <w:sz w:val="32"/>
          <w:szCs w:val="32"/>
          <w:highlight w:val="none"/>
          <w:u w:val="none"/>
          <w:shd w:val="clear" w:color="auto" w:fill="auto"/>
          <w:lang w:val="en-US" w:eastAsia="zh-CN"/>
        </w:rPr>
        <w:t>深化商事制度改革。</w:t>
      </w:r>
      <w:r>
        <w:rPr>
          <w:rFonts w:hint="eastAsia" w:ascii="仿宋_GB2312" w:hAnsi="仿宋_GB2312" w:eastAsia="仿宋_GB2312" w:cs="仿宋_GB2312"/>
          <w:b w:val="0"/>
          <w:bCs w:val="0"/>
          <w:color w:val="auto"/>
          <w:w w:val="100"/>
          <w:sz w:val="32"/>
          <w:szCs w:val="32"/>
          <w:highlight w:val="none"/>
          <w:u w:val="none"/>
          <w:shd w:val="clear" w:color="auto" w:fill="auto"/>
          <w:lang w:val="en-US" w:eastAsia="zh-CN"/>
        </w:rPr>
        <w:t>全面实施市场准入负面清单，健全“负面清单+正面激励+产业准入”模式。</w:t>
      </w:r>
      <w:r>
        <w:rPr>
          <w:rFonts w:hint="eastAsia"/>
          <w:color w:val="auto"/>
          <w:highlight w:val="none"/>
          <w:shd w:val="clear" w:color="auto" w:fill="auto"/>
          <w:lang w:val="en-US" w:eastAsia="zh-CN"/>
        </w:rPr>
        <w:t>重点探索医疗健康产业、先进能源产业、先进制造产业等新业态新模式市场准入。</w:t>
      </w:r>
      <w:r>
        <w:rPr>
          <w:rFonts w:hint="eastAsia"/>
          <w:color w:val="auto"/>
          <w:highlight w:val="none"/>
          <w:shd w:val="clear" w:color="auto" w:fill="auto"/>
          <w:lang w:val="en-US" w:eastAsia="zh-CN" w:bidi="ar"/>
        </w:rPr>
        <w:t>放宽新兴企业名称注册范围、市场主体经营范围等政策突破</w:t>
      </w:r>
      <w:r>
        <w:rPr>
          <w:rStyle w:val="31"/>
          <w:rFonts w:hint="eastAsia"/>
          <w:color w:val="auto"/>
          <w:highlight w:val="none"/>
          <w:shd w:val="clear" w:color="auto" w:fill="auto"/>
          <w:lang w:val="en-US" w:eastAsia="zh-CN" w:bidi="ar"/>
        </w:rPr>
        <w:footnoteReference w:id="0"/>
      </w:r>
      <w:r>
        <w:rPr>
          <w:rFonts w:hint="eastAsia"/>
          <w:color w:val="auto"/>
          <w:highlight w:val="none"/>
          <w:shd w:val="clear" w:color="auto" w:fill="auto"/>
          <w:lang w:val="en-US" w:eastAsia="zh-CN" w:bidi="ar"/>
        </w:rPr>
        <w:t>。协助市级部门稳步开展市场准入效能评估，做好配套支撑工作。按照</w:t>
      </w:r>
      <w:r>
        <w:rPr>
          <w:rFonts w:hint="eastAsia"/>
          <w:b w:val="0"/>
          <w:bCs w:val="0"/>
          <w:color w:val="auto"/>
          <w:highlight w:val="none"/>
          <w:shd w:val="clear" w:color="auto" w:fill="auto"/>
          <w:lang w:val="en-US" w:eastAsia="zh-CN" w:bidi="ar"/>
        </w:rPr>
        <w:t>市级部门要求</w:t>
      </w:r>
      <w:r>
        <w:rPr>
          <w:rFonts w:hint="eastAsia"/>
          <w:color w:val="auto"/>
          <w:highlight w:val="none"/>
          <w:shd w:val="clear" w:color="auto" w:fill="auto"/>
          <w:lang w:val="en-US" w:eastAsia="zh-CN"/>
        </w:rPr>
        <w:t>提升企业登记全生命周期便利化水平推广住所标准化登记。扩大简易注销适用范围，落实企业注销“一次办结”全流程网办。</w:t>
      </w:r>
    </w:p>
    <w:p w14:paraId="70CA89B4">
      <w:pPr>
        <w:pStyle w:val="3"/>
        <w:bidi w:val="0"/>
        <w:rPr>
          <w:rFonts w:hint="eastAsia"/>
          <w:lang w:val="en-US" w:eastAsia="zh-CN"/>
        </w:rPr>
      </w:pPr>
      <w:bookmarkStart w:id="56" w:name="_Toc14366"/>
      <w:bookmarkStart w:id="57" w:name="_Toc22868"/>
      <w:bookmarkStart w:id="58" w:name="_Toc17624"/>
      <w:bookmarkStart w:id="59" w:name="_Toc19790"/>
      <w:bookmarkStart w:id="60" w:name="_Toc8499"/>
      <w:bookmarkStart w:id="61" w:name="_Toc27363"/>
      <w:bookmarkStart w:id="62" w:name="_Toc12755"/>
      <w:bookmarkStart w:id="63" w:name="_Toc6949"/>
      <w:bookmarkStart w:id="64" w:name="_Toc22843"/>
      <w:r>
        <w:rPr>
          <w:rFonts w:hint="eastAsia"/>
          <w:lang w:val="en-US" w:eastAsia="zh-CN"/>
        </w:rPr>
        <w:t>（三）健全社会信用体系</w:t>
      </w:r>
      <w:bookmarkEnd w:id="56"/>
      <w:bookmarkEnd w:id="57"/>
      <w:bookmarkEnd w:id="58"/>
      <w:bookmarkEnd w:id="59"/>
      <w:bookmarkEnd w:id="60"/>
      <w:bookmarkEnd w:id="61"/>
      <w:bookmarkEnd w:id="62"/>
      <w:bookmarkEnd w:id="63"/>
      <w:bookmarkEnd w:id="64"/>
    </w:p>
    <w:p w14:paraId="1B52D2EA">
      <w:pPr>
        <w:pageBreakBefore w:val="0"/>
        <w:kinsoku/>
        <w:wordWrap/>
        <w:autoSpaceDE/>
        <w:autoSpaceDN/>
        <w:bidi w:val="0"/>
        <w:spacing w:line="560" w:lineRule="exact"/>
        <w:ind w:firstLine="640"/>
        <w:rPr>
          <w:rFonts w:hint="eastAsia"/>
          <w:b w:val="0"/>
          <w:bCs w:val="0"/>
          <w:color w:val="auto"/>
          <w:highlight w:val="none"/>
          <w:shd w:val="clear" w:color="auto" w:fill="auto"/>
          <w:lang w:val="en-US" w:eastAsia="zh-CN"/>
        </w:rPr>
      </w:pPr>
      <w:r>
        <w:rPr>
          <w:rFonts w:hint="eastAsia"/>
          <w:b/>
          <w:bCs/>
          <w:color w:val="auto"/>
          <w:highlight w:val="none"/>
          <w:shd w:val="clear" w:color="auto" w:fill="auto"/>
          <w:lang w:val="en-US" w:eastAsia="zh-CN"/>
        </w:rPr>
        <w:t>推进诚信建设。</w:t>
      </w:r>
      <w:r>
        <w:rPr>
          <w:rFonts w:hint="eastAsia"/>
          <w:b w:val="0"/>
          <w:bCs w:val="0"/>
          <w:color w:val="auto"/>
          <w:highlight w:val="none"/>
          <w:shd w:val="clear" w:color="auto" w:fill="auto"/>
          <w:lang w:val="en-US" w:eastAsia="zh-CN"/>
        </w:rPr>
        <w:t>健全政务失信记录与惩戒机制，加大失信智慧监管，健全拖欠企业账款清偿长效机制。深化信用信息归集共享与场景应用，健全融资增信配套制度</w:t>
      </w:r>
      <w:r>
        <w:rPr>
          <w:rStyle w:val="31"/>
          <w:rFonts w:hint="eastAsia"/>
          <w:b w:val="0"/>
          <w:bCs w:val="0"/>
          <w:color w:val="auto"/>
          <w:highlight w:val="none"/>
          <w:shd w:val="clear" w:color="auto" w:fill="auto"/>
          <w:lang w:val="en-US" w:eastAsia="zh-CN"/>
        </w:rPr>
        <w:footnoteReference w:id="1"/>
      </w:r>
      <w:r>
        <w:rPr>
          <w:rFonts w:hint="eastAsia"/>
          <w:b w:val="0"/>
          <w:bCs w:val="0"/>
          <w:color w:val="auto"/>
          <w:highlight w:val="none"/>
          <w:shd w:val="clear" w:color="auto" w:fill="auto"/>
          <w:lang w:val="en-US" w:eastAsia="zh-CN"/>
        </w:rPr>
        <w:t>，对守信主体给予公共服务便利；推进经营主体专用信用报告替代各类证明事项改革，落实专项信用报告跨区域互通互认机制。</w:t>
      </w:r>
    </w:p>
    <w:p w14:paraId="5646F337">
      <w:pPr>
        <w:pStyle w:val="3"/>
        <w:bidi w:val="0"/>
        <w:rPr>
          <w:rFonts w:hint="default"/>
          <w:lang w:val="en-US" w:eastAsia="zh-CN"/>
        </w:rPr>
      </w:pPr>
      <w:bookmarkStart w:id="65" w:name="_Toc23738"/>
      <w:bookmarkStart w:id="66" w:name="_Toc11892"/>
      <w:bookmarkStart w:id="67" w:name="_Toc4685"/>
      <w:bookmarkStart w:id="68" w:name="_Toc4043"/>
      <w:bookmarkStart w:id="69" w:name="_Toc1813"/>
      <w:bookmarkStart w:id="70" w:name="_Toc17225"/>
      <w:bookmarkStart w:id="71" w:name="_Toc9091"/>
      <w:bookmarkStart w:id="72" w:name="_Toc17394"/>
      <w:bookmarkStart w:id="73" w:name="_Toc19209"/>
      <w:r>
        <w:rPr>
          <w:rFonts w:hint="eastAsia"/>
          <w:lang w:val="en-US" w:eastAsia="zh-CN"/>
        </w:rPr>
        <w:t>（四）强化要素保障</w:t>
      </w:r>
      <w:bookmarkEnd w:id="65"/>
      <w:bookmarkEnd w:id="66"/>
      <w:bookmarkEnd w:id="67"/>
      <w:bookmarkEnd w:id="68"/>
      <w:bookmarkEnd w:id="69"/>
      <w:bookmarkEnd w:id="70"/>
      <w:bookmarkEnd w:id="71"/>
      <w:bookmarkEnd w:id="72"/>
    </w:p>
    <w:p w14:paraId="143DC1BF">
      <w:pPr>
        <w:ind w:firstLine="640"/>
        <w:outlineLvl w:val="9"/>
        <w:rPr>
          <w:rFonts w:hint="eastAsia"/>
          <w:highlight w:val="none"/>
          <w:lang w:val="en-US" w:eastAsia="zh-CN"/>
        </w:rPr>
      </w:pPr>
      <w:bookmarkStart w:id="74" w:name="_Toc15580"/>
      <w:bookmarkStart w:id="75" w:name="_Toc4546"/>
      <w:r>
        <w:rPr>
          <w:rFonts w:hint="eastAsia"/>
          <w:b/>
          <w:bCs/>
          <w:color w:val="auto"/>
          <w:highlight w:val="none"/>
          <w:shd w:val="clear" w:color="auto" w:fill="auto"/>
          <w:lang w:val="en-US" w:eastAsia="zh-CN"/>
        </w:rPr>
        <w:t>促进科技成果转化。</w:t>
      </w:r>
      <w:r>
        <w:rPr>
          <w:rFonts w:hint="eastAsia" w:cs="仿宋_GB2312"/>
          <w:b w:val="0"/>
          <w:bCs w:val="0"/>
          <w:color w:val="auto"/>
          <w:kern w:val="2"/>
          <w:sz w:val="32"/>
          <w:szCs w:val="24"/>
          <w:highlight w:val="none"/>
          <w:shd w:val="clear" w:color="auto" w:fill="auto"/>
          <w:lang w:val="en-US" w:eastAsia="zh-CN" w:bidi="ar-SA"/>
        </w:rPr>
        <w:t>完善</w:t>
      </w:r>
      <w:r>
        <w:rPr>
          <w:rFonts w:hint="default" w:ascii="仿宋_GB2312" w:hAnsi="仿宋_GB2312" w:eastAsia="仿宋_GB2312" w:cs="仿宋_GB2312"/>
          <w:b w:val="0"/>
          <w:bCs w:val="0"/>
          <w:color w:val="auto"/>
          <w:kern w:val="2"/>
          <w:sz w:val="32"/>
          <w:szCs w:val="24"/>
          <w:highlight w:val="none"/>
          <w:shd w:val="clear" w:color="auto" w:fill="auto"/>
          <w:lang w:val="en-US" w:eastAsia="zh-CN" w:bidi="ar-SA"/>
        </w:rPr>
        <w:t>科技成果评估、筛选和推介</w:t>
      </w:r>
      <w:r>
        <w:rPr>
          <w:rFonts w:hint="eastAsia" w:cs="仿宋_GB2312"/>
          <w:b w:val="0"/>
          <w:bCs w:val="0"/>
          <w:color w:val="auto"/>
          <w:kern w:val="2"/>
          <w:sz w:val="32"/>
          <w:szCs w:val="24"/>
          <w:highlight w:val="none"/>
          <w:shd w:val="clear" w:color="auto" w:fill="auto"/>
          <w:lang w:val="en-US" w:eastAsia="zh-CN" w:bidi="ar-SA"/>
        </w:rPr>
        <w:t>体系</w:t>
      </w:r>
      <w:r>
        <w:rPr>
          <w:rStyle w:val="31"/>
          <w:rFonts w:hint="default" w:ascii="仿宋_GB2312" w:hAnsi="仿宋_GB2312" w:eastAsia="仿宋_GB2312" w:cs="仿宋_GB2312"/>
          <w:b w:val="0"/>
          <w:bCs w:val="0"/>
          <w:color w:val="auto"/>
          <w:kern w:val="2"/>
          <w:sz w:val="32"/>
          <w:szCs w:val="24"/>
          <w:highlight w:val="none"/>
          <w:shd w:val="clear" w:color="auto" w:fill="auto"/>
          <w:lang w:val="en-US" w:eastAsia="zh-CN" w:bidi="ar-SA"/>
        </w:rPr>
        <w:footnoteReference w:id="2"/>
      </w:r>
      <w:r>
        <w:rPr>
          <w:rFonts w:hint="default" w:ascii="仿宋_GB2312" w:hAnsi="仿宋_GB2312" w:eastAsia="仿宋_GB2312" w:cs="仿宋_GB2312"/>
          <w:b w:val="0"/>
          <w:bCs w:val="0"/>
          <w:color w:val="auto"/>
          <w:kern w:val="2"/>
          <w:sz w:val="32"/>
          <w:szCs w:val="24"/>
          <w:highlight w:val="none"/>
          <w:shd w:val="clear" w:color="auto" w:fill="auto"/>
          <w:lang w:val="en-US" w:eastAsia="zh-CN" w:bidi="ar-SA"/>
        </w:rPr>
        <w:t>，</w:t>
      </w:r>
      <w:r>
        <w:rPr>
          <w:rFonts w:hint="eastAsia" w:ascii="仿宋_GB2312" w:hAnsi="仿宋_GB2312" w:eastAsia="仿宋_GB2312" w:cs="仿宋_GB2312"/>
          <w:b w:val="0"/>
          <w:bCs w:val="0"/>
          <w:color w:val="auto"/>
          <w:kern w:val="2"/>
          <w:sz w:val="32"/>
          <w:szCs w:val="21"/>
          <w:highlight w:val="none"/>
          <w:shd w:val="clear" w:color="auto" w:fill="auto"/>
          <w:lang w:val="en-US" w:eastAsia="zh-CN" w:bidi="ar-SA"/>
        </w:rPr>
        <w:t>支持设立新型研发机构、未来产业研究院</w:t>
      </w:r>
      <w:r>
        <w:rPr>
          <w:rFonts w:hint="eastAsia" w:cs="仿宋_GB2312"/>
          <w:b w:val="0"/>
          <w:bCs w:val="0"/>
          <w:color w:val="auto"/>
          <w:kern w:val="2"/>
          <w:sz w:val="32"/>
          <w:szCs w:val="21"/>
          <w:highlight w:val="none"/>
          <w:shd w:val="clear" w:color="auto" w:fill="auto"/>
          <w:lang w:val="en-US" w:eastAsia="zh-CN" w:bidi="ar-SA"/>
        </w:rPr>
        <w:t>，</w:t>
      </w:r>
      <w:r>
        <w:rPr>
          <w:rFonts w:hint="eastAsia" w:ascii="仿宋_GB2312" w:hAnsi="仿宋_GB2312" w:eastAsia="仿宋_GB2312" w:cs="仿宋_GB2312"/>
          <w:b w:val="0"/>
          <w:bCs w:val="0"/>
          <w:color w:val="auto"/>
          <w:kern w:val="2"/>
          <w:sz w:val="32"/>
          <w:szCs w:val="21"/>
          <w:highlight w:val="none"/>
          <w:shd w:val="clear" w:color="auto" w:fill="auto"/>
          <w:lang w:val="en-US" w:eastAsia="zh-CN" w:bidi="ar-SA"/>
        </w:rPr>
        <w:t>与在</w:t>
      </w:r>
      <w:r>
        <w:rPr>
          <w:rFonts w:hint="eastAsia" w:cs="仿宋_GB2312"/>
          <w:b w:val="0"/>
          <w:bCs w:val="0"/>
          <w:color w:val="auto"/>
          <w:kern w:val="2"/>
          <w:sz w:val="32"/>
          <w:szCs w:val="21"/>
          <w:highlight w:val="none"/>
          <w:shd w:val="clear" w:color="auto" w:fill="auto"/>
          <w:lang w:val="en-US" w:eastAsia="zh-CN" w:bidi="ar-SA"/>
        </w:rPr>
        <w:t>区</w:t>
      </w:r>
      <w:r>
        <w:rPr>
          <w:rFonts w:hint="eastAsia" w:ascii="仿宋_GB2312" w:hAnsi="仿宋_GB2312" w:eastAsia="仿宋_GB2312" w:cs="仿宋_GB2312"/>
          <w:b w:val="0"/>
          <w:bCs w:val="0"/>
          <w:color w:val="auto"/>
          <w:kern w:val="2"/>
          <w:sz w:val="32"/>
          <w:szCs w:val="21"/>
          <w:highlight w:val="none"/>
          <w:shd w:val="clear" w:color="auto" w:fill="auto"/>
          <w:lang w:val="en-US" w:eastAsia="zh-CN" w:bidi="ar-SA"/>
        </w:rPr>
        <w:t>高校共建技术转移中心</w:t>
      </w:r>
      <w:r>
        <w:rPr>
          <w:rFonts w:hint="eastAsia" w:cs="仿宋_GB2312"/>
          <w:b w:val="0"/>
          <w:bCs w:val="0"/>
          <w:color w:val="auto"/>
          <w:kern w:val="2"/>
          <w:sz w:val="32"/>
          <w:szCs w:val="21"/>
          <w:highlight w:val="none"/>
          <w:shd w:val="clear" w:color="auto" w:fill="auto"/>
          <w:lang w:val="en-US" w:eastAsia="zh-CN" w:bidi="ar-SA"/>
        </w:rPr>
        <w:t>，</w:t>
      </w:r>
      <w:r>
        <w:rPr>
          <w:rFonts w:hint="eastAsia" w:ascii="仿宋_GB2312" w:hAnsi="仿宋_GB2312" w:eastAsia="仿宋_GB2312" w:cs="仿宋_GB2312"/>
          <w:b w:val="0"/>
          <w:bCs w:val="0"/>
          <w:color w:val="auto"/>
          <w:kern w:val="2"/>
          <w:sz w:val="32"/>
          <w:szCs w:val="21"/>
          <w:highlight w:val="none"/>
          <w:shd w:val="clear" w:color="auto" w:fill="auto"/>
          <w:lang w:val="en-US" w:eastAsia="zh-CN" w:bidi="ar-SA"/>
        </w:rPr>
        <w:t>构建“众创空间—孵化器—加速器—产业园”未来技术孵化链条。</w:t>
      </w:r>
      <w:r>
        <w:rPr>
          <w:rFonts w:hint="eastAsia"/>
          <w:color w:val="auto"/>
          <w:highlight w:val="none"/>
          <w:shd w:val="clear" w:color="auto" w:fill="auto"/>
          <w:lang w:val="en-US" w:eastAsia="zh-CN"/>
        </w:rPr>
        <w:t>建立高校科研成果定期发布机制，促进与区内企业需求精准对接</w:t>
      </w:r>
      <w:r>
        <w:rPr>
          <w:rStyle w:val="31"/>
          <w:rFonts w:hint="eastAsia"/>
          <w:b w:val="0"/>
          <w:bCs w:val="0"/>
          <w:color w:val="auto"/>
          <w:highlight w:val="none"/>
          <w:shd w:val="clear" w:color="auto" w:fill="auto"/>
          <w:lang w:val="en-US" w:eastAsia="zh-CN"/>
        </w:rPr>
        <w:footnoteReference w:id="3"/>
      </w:r>
      <w:r>
        <w:rPr>
          <w:rFonts w:hint="eastAsia"/>
          <w:color w:val="auto"/>
          <w:highlight w:val="none"/>
          <w:shd w:val="clear" w:color="auto" w:fill="auto"/>
          <w:lang w:val="en-US" w:eastAsia="zh-CN"/>
        </w:rPr>
        <w:t>。做好拨投联动工作，依托未来科学城、沙河高教园及高校院所资源集聚优势，筛选优质初创主体，综合运用研发补助、股权投资相结合的方式实施分层支持，赋能科创企业加速成长</w:t>
      </w:r>
      <w:r>
        <w:rPr>
          <w:rStyle w:val="31"/>
          <w:rFonts w:hint="eastAsia"/>
          <w:color w:val="auto"/>
          <w:highlight w:val="none"/>
          <w:shd w:val="clear" w:color="auto" w:fill="auto"/>
          <w:lang w:val="en-US" w:eastAsia="zh-CN"/>
        </w:rPr>
        <w:footnoteReference w:id="4"/>
      </w:r>
      <w:r>
        <w:rPr>
          <w:rFonts w:hint="eastAsia"/>
          <w:color w:val="auto"/>
          <w:highlight w:val="none"/>
          <w:shd w:val="clear" w:color="auto" w:fill="auto"/>
          <w:lang w:val="en-US" w:eastAsia="zh-CN"/>
        </w:rPr>
        <w:t>。</w:t>
      </w:r>
    </w:p>
    <w:bookmarkEnd w:id="74"/>
    <w:bookmarkEnd w:id="75"/>
    <w:p w14:paraId="405BDCE2">
      <w:pPr>
        <w:pStyle w:val="8"/>
        <w:pageBreakBefore w:val="0"/>
        <w:kinsoku/>
        <w:wordWrap/>
        <w:autoSpaceDE/>
        <w:autoSpaceDN/>
        <w:bidi w:val="0"/>
        <w:spacing w:line="560" w:lineRule="exact"/>
        <w:ind w:firstLine="640"/>
        <w:rPr>
          <w:rFonts w:hint="eastAsia"/>
          <w:color w:val="auto"/>
          <w:highlight w:val="none"/>
          <w:shd w:val="clear" w:color="auto" w:fill="auto"/>
          <w:lang w:val="en-US" w:eastAsia="zh-CN"/>
        </w:rPr>
      </w:pPr>
      <w:bookmarkStart w:id="76" w:name="_Toc21007"/>
      <w:bookmarkStart w:id="77" w:name="_Toc7925"/>
      <w:r>
        <w:rPr>
          <w:rFonts w:hint="eastAsia"/>
          <w:b/>
          <w:bCs/>
          <w:color w:val="auto"/>
          <w:highlight w:val="none"/>
          <w:shd w:val="clear" w:color="auto" w:fill="auto"/>
          <w:lang w:val="en-US" w:eastAsia="zh-CN"/>
        </w:rPr>
        <w:t>加强空间资源活化与协同利用</w:t>
      </w:r>
      <w:bookmarkEnd w:id="76"/>
      <w:bookmarkEnd w:id="77"/>
      <w:r>
        <w:rPr>
          <w:rFonts w:hint="eastAsia"/>
          <w:b/>
          <w:bCs/>
          <w:color w:val="auto"/>
          <w:highlight w:val="none"/>
          <w:shd w:val="clear" w:color="auto" w:fill="auto"/>
          <w:lang w:val="en-US" w:eastAsia="zh-CN"/>
        </w:rPr>
        <w:t>。</w:t>
      </w:r>
      <w:r>
        <w:rPr>
          <w:rFonts w:hint="eastAsia"/>
          <w:b w:val="0"/>
          <w:bCs w:val="0"/>
          <w:color w:val="auto"/>
          <w:highlight w:val="none"/>
          <w:shd w:val="clear" w:color="auto" w:fill="auto"/>
          <w:lang w:val="en-US" w:eastAsia="zh-CN"/>
        </w:rPr>
        <w:t>编制存量产业用地地图，建立存量产业载体清单，实时共享厂房产权变更、企业经营状态等信息，实现空置信息动态更新</w:t>
      </w:r>
      <w:r>
        <w:rPr>
          <w:rStyle w:val="25"/>
          <w:rFonts w:hint="eastAsia"/>
          <w:b w:val="0"/>
          <w:bCs w:val="0"/>
          <w:color w:val="auto"/>
          <w:highlight w:val="none"/>
          <w:shd w:val="clear" w:color="auto" w:fill="auto"/>
          <w:vertAlign w:val="superscript"/>
          <w:lang w:val="en-US" w:eastAsia="zh-CN"/>
        </w:rPr>
        <w:footnoteReference w:id="5"/>
      </w:r>
      <w:r>
        <w:rPr>
          <w:rFonts w:hint="eastAsia"/>
          <w:b w:val="0"/>
          <w:bCs w:val="0"/>
          <w:color w:val="auto"/>
          <w:highlight w:val="none"/>
          <w:shd w:val="clear" w:color="auto" w:fill="auto"/>
          <w:lang w:val="en-US" w:eastAsia="zh-CN"/>
        </w:rPr>
        <w:t>。</w:t>
      </w:r>
      <w:r>
        <w:rPr>
          <w:rFonts w:hint="eastAsia" w:ascii="仿宋_GB2312" w:hAnsi="仿宋_GB2312" w:eastAsia="仿宋_GB2312"/>
          <w:b w:val="0"/>
          <w:bCs w:val="0"/>
          <w:color w:val="auto"/>
          <w:highlight w:val="none"/>
          <w:shd w:val="clear" w:color="auto" w:fill="auto"/>
          <w:lang w:val="en-US" w:eastAsia="zh-CN"/>
        </w:rPr>
        <w:t>统筹推进中关村昌平园扩区增容、空间盘活、产业升级</w:t>
      </w:r>
      <w:r>
        <w:rPr>
          <w:rFonts w:hint="eastAsia"/>
          <w:b w:val="0"/>
          <w:bCs w:val="0"/>
          <w:color w:val="auto"/>
          <w:highlight w:val="none"/>
          <w:shd w:val="clear" w:color="auto" w:fill="auto"/>
          <w:lang w:val="en-US" w:eastAsia="zh-CN"/>
        </w:rPr>
        <w:t>，鼓励企业对空置厂房进行功能重塑，依据区域产业规划引进主导产业企业进驻。强化镇街联动和</w:t>
      </w:r>
      <w:r>
        <w:rPr>
          <w:rFonts w:hint="eastAsia"/>
          <w:color w:val="auto"/>
          <w:highlight w:val="none"/>
          <w:shd w:val="clear" w:color="auto" w:fill="auto"/>
          <w:lang w:val="en-US" w:eastAsia="zh-CN"/>
        </w:rPr>
        <w:t>供地服务工作专班作用，建立企业用地协商解决机制</w:t>
      </w:r>
      <w:r>
        <w:rPr>
          <w:rFonts w:hint="eastAsia"/>
          <w:color w:val="auto"/>
          <w:highlight w:val="none"/>
          <w:shd w:val="clear" w:color="auto" w:fill="auto"/>
          <w:vertAlign w:val="superscript"/>
          <w:lang w:val="en-US" w:eastAsia="zh-CN"/>
        </w:rPr>
        <w:footnoteReference w:id="6"/>
      </w:r>
      <w:r>
        <w:rPr>
          <w:rFonts w:hint="eastAsia"/>
          <w:color w:val="auto"/>
          <w:highlight w:val="none"/>
          <w:shd w:val="clear" w:color="auto" w:fill="auto"/>
          <w:lang w:val="en-US" w:eastAsia="zh-CN"/>
        </w:rPr>
        <w:t>。</w:t>
      </w:r>
    </w:p>
    <w:p w14:paraId="288D40AC">
      <w:pPr>
        <w:pageBreakBefore w:val="0"/>
        <w:kinsoku/>
        <w:wordWrap/>
        <w:autoSpaceDE/>
        <w:autoSpaceDN/>
        <w:bidi w:val="0"/>
        <w:spacing w:line="560" w:lineRule="exact"/>
        <w:ind w:firstLine="640" w:firstLineChars="200"/>
        <w:rPr>
          <w:rFonts w:hint="eastAsia"/>
          <w:color w:val="auto"/>
          <w:highlight w:val="none"/>
          <w:shd w:val="clear" w:color="auto" w:fill="auto"/>
          <w:lang w:val="en-US" w:eastAsia="zh-CN"/>
        </w:rPr>
      </w:pPr>
      <w:bookmarkStart w:id="78" w:name="_Toc18934"/>
      <w:bookmarkStart w:id="79" w:name="_Toc11797"/>
      <w:r>
        <w:rPr>
          <w:rFonts w:hint="default"/>
          <w:b/>
          <w:bCs/>
          <w:lang w:val="en-US" w:eastAsia="zh-CN"/>
        </w:rPr>
        <w:t>推进区域人才强区建设</w:t>
      </w:r>
      <w:r>
        <w:rPr>
          <w:rFonts w:hint="eastAsia"/>
          <w:b/>
          <w:bCs/>
          <w:lang w:val="en-US" w:eastAsia="zh-CN"/>
        </w:rPr>
        <w:t>。</w:t>
      </w:r>
      <w:bookmarkEnd w:id="78"/>
      <w:bookmarkEnd w:id="79"/>
      <w:r>
        <w:rPr>
          <w:rFonts w:hint="eastAsia"/>
          <w:b w:val="0"/>
          <w:bCs w:val="0"/>
          <w:lang w:val="en-US" w:eastAsia="zh-CN"/>
        </w:rPr>
        <w:t>优化实施“昌聚工程”，完善人才分层遴选与支持机制，拓宽引才渠道，健全全链条人才引育留用生态。</w:t>
      </w:r>
      <w:r>
        <w:rPr>
          <w:rFonts w:hint="default"/>
          <w:b w:val="0"/>
          <w:bCs w:val="0"/>
          <w:color w:val="auto"/>
          <w:highlight w:val="none"/>
          <w:shd w:val="clear" w:color="auto" w:fill="auto"/>
          <w:lang w:val="en-US" w:eastAsia="zh-CN"/>
        </w:rPr>
        <w:t>持续完善人才评价机制，探索将人才行业影响力、产业变革推动效果等纳入评价体系</w:t>
      </w:r>
      <w:r>
        <w:rPr>
          <w:rStyle w:val="31"/>
          <w:rFonts w:hint="default"/>
          <w:color w:val="auto"/>
          <w:highlight w:val="none"/>
          <w:shd w:val="clear" w:color="auto" w:fill="auto"/>
          <w:lang w:val="en-US" w:eastAsia="zh-CN"/>
        </w:rPr>
        <w:footnoteReference w:id="7"/>
      </w:r>
      <w:r>
        <w:rPr>
          <w:rFonts w:hint="eastAsia"/>
          <w:color w:val="auto"/>
          <w:highlight w:val="none"/>
          <w:shd w:val="clear" w:color="auto" w:fill="auto"/>
          <w:lang w:val="en-US" w:eastAsia="zh-CN"/>
        </w:rPr>
        <w:t>，</w:t>
      </w:r>
      <w:r>
        <w:rPr>
          <w:rFonts w:hint="default"/>
          <w:color w:val="auto"/>
          <w:highlight w:val="none"/>
          <w:shd w:val="clear" w:color="auto" w:fill="auto"/>
          <w:lang w:val="en-US" w:eastAsia="zh-CN"/>
        </w:rPr>
        <w:t>健全技术经理人职业发展体系。</w:t>
      </w:r>
    </w:p>
    <w:p w14:paraId="19DEC3D8">
      <w:pPr>
        <w:rPr>
          <w:rFonts w:hint="default"/>
          <w:b w:val="0"/>
          <w:bCs w:val="0"/>
          <w:lang w:val="en-US" w:eastAsia="zh-CN"/>
        </w:rPr>
      </w:pPr>
      <w:r>
        <w:rPr>
          <w:rFonts w:hint="eastAsia"/>
          <w:b/>
          <w:bCs/>
          <w:lang w:val="en-US" w:eastAsia="zh-CN"/>
        </w:rPr>
        <w:t>完善金融服务体系。</w:t>
      </w:r>
      <w:r>
        <w:rPr>
          <w:rFonts w:hint="default"/>
          <w:b w:val="0"/>
          <w:bCs w:val="0"/>
          <w:lang w:val="en-US" w:eastAsia="zh-CN"/>
        </w:rPr>
        <w:t>联合多元金融机构创新特色金融产品，全面提升科技金融服务能级</w:t>
      </w:r>
      <w:r>
        <w:rPr>
          <w:rStyle w:val="31"/>
          <w:rFonts w:hint="default"/>
          <w:b w:val="0"/>
          <w:bCs w:val="0"/>
          <w:lang w:val="en-US" w:eastAsia="zh-CN"/>
        </w:rPr>
        <w:footnoteReference w:id="8"/>
      </w:r>
      <w:r>
        <w:rPr>
          <w:rFonts w:hint="default"/>
          <w:b w:val="0"/>
          <w:bCs w:val="0"/>
          <w:lang w:val="en-US" w:eastAsia="zh-CN"/>
        </w:rPr>
        <w:t>。强化政府引导基金作用，壮大科技产业基金群，挖掘和培育园区内高成长性、符合产业发展方向的优质项目。推动投融资服务平台与高校、科研院所对接，引导科创基金、创投机构关注校区溢出的创新项目和人才团队。持续推进金融服务下沉，在园区、社区增设特色服务站点</w:t>
      </w:r>
      <w:r>
        <w:rPr>
          <w:rFonts w:hint="eastAsia"/>
          <w:b w:val="0"/>
          <w:bCs w:val="0"/>
          <w:lang w:val="en-US" w:eastAsia="zh-CN"/>
        </w:rPr>
        <w:t>，</w:t>
      </w:r>
      <w:r>
        <w:rPr>
          <w:rFonts w:hint="default"/>
          <w:b w:val="0"/>
          <w:bCs w:val="0"/>
          <w:lang w:val="en-US" w:eastAsia="zh-CN"/>
        </w:rPr>
        <w:t>深化银政、银社协作，拓宽</w:t>
      </w:r>
      <w:r>
        <w:rPr>
          <w:rFonts w:hint="eastAsia"/>
          <w:b w:val="0"/>
          <w:bCs w:val="0"/>
          <w:lang w:val="en-US" w:eastAsia="zh-CN"/>
        </w:rPr>
        <w:t>普惠</w:t>
      </w:r>
      <w:r>
        <w:rPr>
          <w:rFonts w:hint="default"/>
          <w:b w:val="0"/>
          <w:bCs w:val="0"/>
          <w:lang w:val="en-US" w:eastAsia="zh-CN"/>
        </w:rPr>
        <w:t>金融覆盖面</w:t>
      </w:r>
      <w:r>
        <w:rPr>
          <w:rFonts w:hint="eastAsia"/>
          <w:b w:val="0"/>
          <w:bCs w:val="0"/>
          <w:lang w:val="en-US" w:eastAsia="zh-CN"/>
        </w:rPr>
        <w:t>。</w:t>
      </w:r>
    </w:p>
    <w:p w14:paraId="1437B677">
      <w:pPr>
        <w:pStyle w:val="3"/>
        <w:bidi w:val="0"/>
        <w:rPr>
          <w:rFonts w:hint="default"/>
          <w:lang w:val="en-US" w:eastAsia="zh-CN"/>
        </w:rPr>
      </w:pPr>
      <w:bookmarkStart w:id="80" w:name="_Toc9402"/>
      <w:bookmarkStart w:id="81" w:name="_Toc609"/>
      <w:bookmarkStart w:id="82" w:name="_Toc8555"/>
      <w:bookmarkStart w:id="83" w:name="_Toc7616"/>
      <w:bookmarkStart w:id="84" w:name="_Toc18197"/>
      <w:bookmarkStart w:id="85" w:name="_Toc27928"/>
      <w:bookmarkStart w:id="86" w:name="_Toc13772"/>
      <w:bookmarkStart w:id="87" w:name="_Toc5765"/>
      <w:r>
        <w:rPr>
          <w:rFonts w:hint="eastAsia"/>
          <w:lang w:val="en-US" w:eastAsia="zh-CN"/>
        </w:rPr>
        <w:t>（五）提升产业营商环境</w:t>
      </w:r>
      <w:bookmarkEnd w:id="80"/>
      <w:bookmarkEnd w:id="81"/>
      <w:bookmarkEnd w:id="82"/>
      <w:bookmarkEnd w:id="83"/>
      <w:bookmarkEnd w:id="84"/>
      <w:bookmarkEnd w:id="85"/>
      <w:bookmarkEnd w:id="86"/>
      <w:bookmarkEnd w:id="87"/>
    </w:p>
    <w:p w14:paraId="2F0BE472">
      <w:pPr>
        <w:pageBreakBefore w:val="0"/>
        <w:kinsoku/>
        <w:wordWrap/>
        <w:autoSpaceDE/>
        <w:autoSpaceDN/>
        <w:bidi w:val="0"/>
        <w:spacing w:line="560" w:lineRule="exact"/>
        <w:ind w:firstLine="640"/>
        <w:rPr>
          <w:rFonts w:hint="eastAsia"/>
          <w:b w:val="0"/>
          <w:bCs w:val="0"/>
          <w:color w:val="auto"/>
          <w:highlight w:val="none"/>
          <w:shd w:val="clear" w:color="auto" w:fill="auto"/>
          <w:lang w:val="en-US" w:eastAsia="zh-CN"/>
        </w:rPr>
      </w:pPr>
      <w:r>
        <w:rPr>
          <w:rFonts w:hint="eastAsia"/>
          <w:b/>
          <w:bCs/>
          <w:color w:val="auto"/>
          <w:highlight w:val="none"/>
          <w:shd w:val="clear" w:color="auto" w:fill="auto"/>
          <w:lang w:val="en-US" w:eastAsia="zh-CN"/>
        </w:rPr>
        <w:t>完善产业专项政策体系。</w:t>
      </w:r>
      <w:r>
        <w:rPr>
          <w:rFonts w:hint="eastAsia"/>
          <w:b w:val="0"/>
          <w:bCs w:val="0"/>
          <w:color w:val="auto"/>
          <w:highlight w:val="none"/>
          <w:shd w:val="clear" w:color="auto" w:fill="auto"/>
          <w:lang w:val="en-US" w:eastAsia="zh-CN"/>
        </w:rPr>
        <w:t>深化链主企业带动作用，围绕产业链图谱引入上下游配套企业，持续完善“一链一策”专项政策包。</w:t>
      </w:r>
      <w:r>
        <w:rPr>
          <w:rFonts w:hint="eastAsia"/>
          <w:color w:val="auto"/>
          <w:highlight w:val="none"/>
          <w:shd w:val="clear" w:color="auto" w:fill="auto"/>
          <w:lang w:val="en-US" w:eastAsia="zh-CN"/>
        </w:rPr>
        <w:t>完善</w:t>
      </w:r>
      <w:r>
        <w:rPr>
          <w:color w:val="auto"/>
          <w:highlight w:val="none"/>
          <w:shd w:val="clear" w:color="auto" w:fill="auto"/>
        </w:rPr>
        <w:t>产业</w:t>
      </w:r>
      <w:r>
        <w:rPr>
          <w:rFonts w:hint="eastAsia"/>
          <w:color w:val="auto"/>
          <w:highlight w:val="none"/>
          <w:shd w:val="clear" w:color="auto" w:fill="auto"/>
          <w:lang w:val="en-US" w:eastAsia="zh-CN"/>
        </w:rPr>
        <w:t>应用场景常态化发布机制，定期发布应用场景清单。</w:t>
      </w:r>
      <w:r>
        <w:rPr>
          <w:rFonts w:hint="eastAsia" w:ascii="仿宋_GB2312" w:hAnsi="仿宋_GB2312" w:eastAsia="仿宋_GB2312" w:cs="仿宋_GB2312"/>
          <w:color w:val="auto"/>
          <w:sz w:val="32"/>
          <w:szCs w:val="32"/>
          <w:highlight w:val="none"/>
          <w:shd w:val="clear" w:color="auto" w:fill="auto"/>
        </w:rPr>
        <w:t>实施未来产业发展三年行动计划，</w:t>
      </w:r>
      <w:r>
        <w:rPr>
          <w:rFonts w:hint="eastAsia" w:cs="仿宋_GB2312"/>
          <w:color w:val="auto"/>
          <w:sz w:val="32"/>
          <w:szCs w:val="32"/>
          <w:highlight w:val="none"/>
          <w:shd w:val="clear" w:color="auto" w:fill="auto"/>
          <w:lang w:val="en-US" w:eastAsia="zh-CN"/>
        </w:rPr>
        <w:t>重点推进合成生物制造产业、机器人产业快速布局，</w:t>
      </w:r>
      <w:r>
        <w:rPr>
          <w:rFonts w:hint="eastAsia" w:ascii="仿宋_GB2312" w:hAnsi="仿宋_GB2312" w:eastAsia="仿宋_GB2312" w:cs="仿宋_GB2312"/>
          <w:color w:val="auto"/>
          <w:sz w:val="32"/>
          <w:szCs w:val="32"/>
          <w:highlight w:val="none"/>
          <w:shd w:val="clear" w:color="auto" w:fill="auto"/>
        </w:rPr>
        <w:t>抢占优质高成长新赛道</w:t>
      </w:r>
      <w:r>
        <w:rPr>
          <w:rFonts w:hint="eastAsia"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争创国家未来产业先导区</w:t>
      </w:r>
      <w:r>
        <w:rPr>
          <w:rFonts w:hint="eastAsia"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落实“人工智能+”行动</w:t>
      </w:r>
      <w:r>
        <w:rPr>
          <w:rFonts w:hint="eastAsia" w:cs="仿宋_GB2312"/>
          <w:color w:val="auto"/>
          <w:sz w:val="32"/>
          <w:szCs w:val="32"/>
          <w:highlight w:val="none"/>
          <w:shd w:val="clear" w:color="auto" w:fill="auto"/>
          <w:lang w:eastAsia="zh-CN"/>
        </w:rPr>
        <w:t>，</w:t>
      </w:r>
      <w:r>
        <w:rPr>
          <w:rFonts w:hint="eastAsia" w:cs="仿宋_GB2312"/>
          <w:color w:val="auto"/>
          <w:sz w:val="32"/>
          <w:szCs w:val="32"/>
          <w:highlight w:val="none"/>
          <w:shd w:val="clear" w:color="auto" w:fill="auto"/>
          <w:lang w:val="en-US" w:eastAsia="zh-CN"/>
        </w:rPr>
        <w:t>聚焦三大主导产业，</w:t>
      </w:r>
      <w:r>
        <w:rPr>
          <w:rFonts w:hint="eastAsia" w:ascii="仿宋_GB2312" w:hAnsi="仿宋_GB2312" w:eastAsia="仿宋_GB2312" w:cs="仿宋_GB2312"/>
          <w:color w:val="auto"/>
          <w:sz w:val="32"/>
          <w:szCs w:val="32"/>
          <w:highlight w:val="none"/>
          <w:shd w:val="clear" w:color="auto" w:fill="auto"/>
        </w:rPr>
        <w:t>促进数智技术与产业集成</w:t>
      </w:r>
      <w:r>
        <w:rPr>
          <w:rFonts w:hint="eastAsia" w:cs="仿宋_GB2312"/>
          <w:color w:val="auto"/>
          <w:sz w:val="32"/>
          <w:szCs w:val="32"/>
          <w:highlight w:val="none"/>
          <w:shd w:val="clear" w:color="auto" w:fill="auto"/>
          <w:lang w:val="en-US" w:eastAsia="zh-CN"/>
        </w:rPr>
        <w:t>融合，加速新技术落地和生态集聚</w:t>
      </w:r>
      <w:r>
        <w:rPr>
          <w:rFonts w:hint="eastAsia" w:ascii="仿宋_GB2312" w:hAnsi="仿宋_GB2312" w:eastAsia="仿宋_GB2312" w:cs="仿宋_GB2312"/>
          <w:color w:val="auto"/>
          <w:sz w:val="32"/>
          <w:szCs w:val="32"/>
          <w:highlight w:val="none"/>
          <w:shd w:val="clear" w:color="auto" w:fill="auto"/>
        </w:rPr>
        <w:t>。</w:t>
      </w:r>
      <w:r>
        <w:rPr>
          <w:color w:val="auto"/>
          <w:highlight w:val="none"/>
          <w:shd w:val="clear" w:color="auto" w:fill="auto"/>
        </w:rPr>
        <w:t>针对</w:t>
      </w:r>
      <w:r>
        <w:rPr>
          <w:rFonts w:hint="eastAsia"/>
          <w:color w:val="auto"/>
          <w:highlight w:val="none"/>
          <w:shd w:val="clear" w:color="auto" w:fill="auto"/>
        </w:rPr>
        <w:t>氢能赛道推动上下游补链强链，提速氢能装备制造产业园建设、清华南口国重基地建设</w:t>
      </w:r>
      <w:r>
        <w:rPr>
          <w:rFonts w:hint="eastAsia"/>
          <w:color w:val="auto"/>
          <w:highlight w:val="none"/>
          <w:shd w:val="clear" w:color="auto" w:fill="auto"/>
          <w:lang w:eastAsia="zh-CN"/>
        </w:rPr>
        <w:t>。</w:t>
      </w:r>
    </w:p>
    <w:p w14:paraId="77A3856B">
      <w:pPr>
        <w:pageBreakBefore w:val="0"/>
        <w:kinsoku/>
        <w:wordWrap/>
        <w:autoSpaceDE/>
        <w:autoSpaceDN/>
        <w:bidi w:val="0"/>
        <w:ind w:firstLine="640"/>
        <w:rPr>
          <w:rFonts w:hint="default"/>
          <w:lang w:val="en-US" w:eastAsia="zh-CN"/>
        </w:rPr>
      </w:pPr>
      <w:r>
        <w:rPr>
          <w:rFonts w:hint="eastAsia"/>
          <w:b/>
          <w:bCs/>
          <w:lang w:val="en-US" w:eastAsia="zh-CN"/>
        </w:rPr>
        <w:t>强化产业平台赋能。</w:t>
      </w:r>
      <w:r>
        <w:rPr>
          <w:rFonts w:hint="eastAsia"/>
          <w:lang w:val="en-US" w:eastAsia="zh-CN"/>
        </w:rPr>
        <w:t>强化北京药品医疗器械创新服务站服务能力，通过政策宣讲、业务培训、标准宣贯等方式，提升行业服务效能。动态跟踪创新药械项目进展，开展研发注册生产全环节咨询服务，协助国家审评审批部门快速开展沟通指导。</w:t>
      </w:r>
      <w:r>
        <w:rPr>
          <w:rFonts w:hint="default"/>
          <w:lang w:val="en-US" w:eastAsia="zh-CN"/>
        </w:rPr>
        <w:t>依托国际研究型医院等平台，深化</w:t>
      </w:r>
      <w:r>
        <w:rPr>
          <w:rFonts w:hint="eastAsia"/>
          <w:lang w:val="en-US" w:eastAsia="zh-CN"/>
        </w:rPr>
        <w:t>“</w:t>
      </w:r>
      <w:r>
        <w:rPr>
          <w:rFonts w:hint="default"/>
          <w:lang w:val="en-US" w:eastAsia="zh-CN"/>
        </w:rPr>
        <w:t>投资+临床+孵化+园区</w:t>
      </w:r>
      <w:r>
        <w:rPr>
          <w:rFonts w:hint="eastAsia"/>
          <w:lang w:val="en-US" w:eastAsia="zh-CN"/>
        </w:rPr>
        <w:t>”</w:t>
      </w:r>
      <w:r>
        <w:rPr>
          <w:rFonts w:hint="default"/>
          <w:lang w:val="en-US" w:eastAsia="zh-CN"/>
        </w:rPr>
        <w:t>四位一体生态圈建设，</w:t>
      </w:r>
      <w:r>
        <w:rPr>
          <w:rFonts w:hint="eastAsia"/>
          <w:lang w:val="en-US" w:eastAsia="zh-CN"/>
        </w:rPr>
        <w:t>推动创新药械研发转化与产业集聚</w:t>
      </w:r>
      <w:r>
        <w:rPr>
          <w:rFonts w:hint="default"/>
          <w:lang w:val="en-US" w:eastAsia="zh-CN"/>
        </w:rPr>
        <w:t>。</w:t>
      </w:r>
      <w:r>
        <w:rPr>
          <w:rFonts w:hint="eastAsia"/>
          <w:color w:val="auto"/>
          <w:highlight w:val="none"/>
          <w:shd w:val="clear" w:color="auto" w:fill="auto"/>
          <w:lang w:val="en-US" w:eastAsia="zh-CN"/>
        </w:rPr>
        <w:t>探索</w:t>
      </w:r>
      <w:r>
        <w:rPr>
          <w:color w:val="auto"/>
          <w:highlight w:val="none"/>
          <w:shd w:val="clear" w:color="auto" w:fill="auto"/>
        </w:rPr>
        <w:t>建设智慧医疗应用场景示范基地，联合区内医疗机构、医药企业，开展远程医疗、智能化诊疗辅助系统等应用实践，推动新技术从实验室走向实际应用。</w:t>
      </w:r>
      <w:r>
        <w:rPr>
          <w:rFonts w:hint="eastAsia"/>
          <w:lang w:val="en-US" w:eastAsia="zh-CN"/>
        </w:rPr>
        <w:t>发挥</w:t>
      </w:r>
      <w:r>
        <w:rPr>
          <w:rFonts w:hint="eastAsia"/>
        </w:rPr>
        <w:t>昌平区国际产业</w:t>
      </w:r>
      <w:r>
        <w:rPr>
          <w:rFonts w:hint="eastAsia"/>
          <w:lang w:val="en-US" w:eastAsia="zh-CN"/>
        </w:rPr>
        <w:t>会客厅功能</w:t>
      </w:r>
      <w:r>
        <w:rPr>
          <w:rFonts w:hint="eastAsia"/>
        </w:rPr>
        <w:t>，深化涉外法律、知识产权、跨境税务等“一站式”服务</w:t>
      </w:r>
      <w:r>
        <w:rPr>
          <w:rFonts w:hint="eastAsia"/>
          <w:lang w:eastAsia="zh-CN"/>
        </w:rPr>
        <w:t>。</w:t>
      </w:r>
    </w:p>
    <w:bookmarkEnd w:id="73"/>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B17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9129" w:type="dxa"/>
            <w:vAlign w:val="center"/>
          </w:tcPr>
          <w:p w14:paraId="4F50B2C0">
            <w:pPr>
              <w:keepNext w:val="0"/>
              <w:keepLines w:val="0"/>
              <w:pageBreakBefore w:val="0"/>
              <w:widowControl/>
              <w:kinsoku/>
              <w:wordWrap/>
              <w:overflowPunct/>
              <w:topLinePunct w:val="0"/>
              <w:autoSpaceDE/>
              <w:autoSpaceDN/>
              <w:bidi w:val="0"/>
              <w:adjustRightInd/>
              <w:snapToGrid/>
              <w:spacing w:line="560" w:lineRule="exact"/>
              <w:ind w:firstLine="640" w:firstLineChars="0"/>
              <w:jc w:val="center"/>
              <w:textAlignment w:val="auto"/>
              <w:rPr>
                <w:rFonts w:hint="default" w:ascii="黑体" w:hAnsi="黑体" w:eastAsia="黑体"/>
                <w:kern w:val="0"/>
                <w:sz w:val="28"/>
                <w:szCs w:val="28"/>
                <w:highlight w:val="none"/>
                <w:shd w:val="clear" w:color="auto" w:fill="auto"/>
                <w:lang w:val="en-US" w:eastAsia="zh-CN"/>
              </w:rPr>
            </w:pPr>
            <w:bookmarkStart w:id="88" w:name="_Toc7276"/>
            <w:bookmarkStart w:id="89" w:name="_Toc9394"/>
            <w:bookmarkStart w:id="90" w:name="_Toc28120"/>
            <w:bookmarkStart w:id="91" w:name="_Toc20085"/>
            <w:bookmarkStart w:id="92" w:name="_Toc21670"/>
            <w:bookmarkStart w:id="93" w:name="_Toc17649"/>
            <w:bookmarkStart w:id="94" w:name="_Toc25441"/>
            <w:bookmarkStart w:id="95" w:name="_Toc29344"/>
            <w:bookmarkStart w:id="96" w:name="_Toc28579"/>
            <w:bookmarkStart w:id="97" w:name="_Toc12254"/>
            <w:bookmarkStart w:id="98" w:name="_Toc31207"/>
            <w:r>
              <w:rPr>
                <w:rFonts w:hint="eastAsia" w:ascii="黑体" w:hAnsi="黑体" w:eastAsia="黑体"/>
                <w:b w:val="0"/>
                <w:bCs w:val="0"/>
                <w:kern w:val="0"/>
                <w:sz w:val="28"/>
                <w:szCs w:val="28"/>
                <w:highlight w:val="none"/>
                <w:shd w:val="clear" w:color="auto" w:fill="auto"/>
              </w:rPr>
              <w:t>专栏</w:t>
            </w:r>
            <w:r>
              <w:rPr>
                <w:rFonts w:hint="eastAsia" w:ascii="黑体" w:hAnsi="黑体" w:eastAsia="黑体"/>
                <w:b w:val="0"/>
                <w:bCs w:val="0"/>
                <w:kern w:val="0"/>
                <w:sz w:val="28"/>
                <w:szCs w:val="28"/>
                <w:highlight w:val="none"/>
                <w:shd w:val="clear" w:color="auto" w:fill="auto"/>
                <w:lang w:val="en-US" w:eastAsia="zh-CN"/>
              </w:rPr>
              <w:t>重点任务</w:t>
            </w:r>
          </w:p>
        </w:tc>
      </w:tr>
      <w:tr w14:paraId="4282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9" w:type="dxa"/>
            <w:vAlign w:val="center"/>
          </w:tcPr>
          <w:p w14:paraId="156BBA0A">
            <w:pPr>
              <w:pageBreakBefore w:val="0"/>
              <w:kinsoku/>
              <w:wordWrap/>
              <w:autoSpaceDE/>
              <w:autoSpaceDN/>
              <w:bidi w:val="0"/>
              <w:spacing w:line="240" w:lineRule="auto"/>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重点任务一：构建精准高效的要素保障体系</w:t>
            </w:r>
          </w:p>
          <w:p w14:paraId="343688BE">
            <w:pPr>
              <w:pageBreakBefore w:val="0"/>
              <w:kinsoku/>
              <w:wordWrap/>
              <w:autoSpaceDE/>
              <w:autoSpaceDN/>
              <w:bidi w:val="0"/>
              <w:spacing w:line="240" w:lineRule="auto"/>
              <w:ind w:firstLineChars="200"/>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（一）科技成果转化加速</w:t>
            </w:r>
          </w:p>
          <w:p w14:paraId="72CDA830">
            <w:pPr>
              <w:pageBreakBefore w:val="0"/>
              <w:kinsoku/>
              <w:wordWrap/>
              <w:autoSpaceDE/>
              <w:autoSpaceDN/>
              <w:bidi w:val="0"/>
              <w:spacing w:line="240" w:lineRule="auto"/>
              <w:ind w:firstLineChars="200"/>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全链条孵化体系构建。</w:t>
            </w:r>
            <w:r>
              <w:rPr>
                <w:rFonts w:hint="eastAsia"/>
                <w:b w:val="0"/>
                <w:bCs w:val="0"/>
                <w:sz w:val="28"/>
                <w:szCs w:val="28"/>
                <w:highlight w:val="none"/>
                <w:shd w:val="clear" w:color="auto" w:fill="auto"/>
                <w:lang w:val="en-US" w:eastAsia="zh-CN"/>
              </w:rPr>
              <w:t>完善“众创空间—孵化器—加速器—产业园”孵化链条，提供全周期孵化服务，促进企业从初创到成熟的发展。</w:t>
            </w:r>
          </w:p>
          <w:p w14:paraId="11802E00">
            <w:pPr>
              <w:pageBreakBefore w:val="0"/>
              <w:kinsoku/>
              <w:wordWrap/>
              <w:autoSpaceDE/>
              <w:autoSpaceDN/>
              <w:bidi w:val="0"/>
              <w:spacing w:line="240" w:lineRule="auto"/>
              <w:ind w:firstLineChars="200"/>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常态化成果对接。</w:t>
            </w:r>
            <w:r>
              <w:rPr>
                <w:rFonts w:hint="eastAsia"/>
                <w:b w:val="0"/>
                <w:bCs w:val="0"/>
                <w:sz w:val="28"/>
                <w:szCs w:val="28"/>
                <w:highlight w:val="none"/>
                <w:shd w:val="clear" w:color="auto" w:fill="auto"/>
                <w:lang w:val="en-US" w:eastAsia="zh-CN"/>
              </w:rPr>
              <w:t>建立高校科研成果定期发布机制，搭建校企对接平台，推动科技成果产业化，每年统计转化数量与经济效益，优化服务机制。</w:t>
            </w:r>
          </w:p>
          <w:p w14:paraId="297A7944">
            <w:pPr>
              <w:pageBreakBefore w:val="0"/>
              <w:kinsoku/>
              <w:wordWrap/>
              <w:autoSpaceDE/>
              <w:autoSpaceDN/>
              <w:bidi w:val="0"/>
              <w:spacing w:line="240" w:lineRule="auto"/>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（二）空间资源活化</w:t>
            </w:r>
          </w:p>
          <w:p w14:paraId="03DA4662">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数字化资源管理。</w:t>
            </w:r>
            <w:r>
              <w:rPr>
                <w:rFonts w:hint="eastAsia"/>
                <w:b w:val="0"/>
                <w:bCs w:val="0"/>
                <w:sz w:val="28"/>
                <w:szCs w:val="28"/>
                <w:highlight w:val="none"/>
                <w:shd w:val="clear" w:color="auto" w:fill="auto"/>
                <w:lang w:val="en-US" w:eastAsia="zh-CN"/>
              </w:rPr>
              <w:t>搭建空置厂房数据库和“地企匹配图”数字平台，提供实时更新的厂房信息，帮助企业在线精准匹配所需资源。</w:t>
            </w:r>
          </w:p>
          <w:p w14:paraId="48C36165">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精细化用地规划。</w:t>
            </w:r>
            <w:r>
              <w:rPr>
                <w:rFonts w:hint="eastAsia"/>
                <w:b w:val="0"/>
                <w:bCs w:val="0"/>
                <w:sz w:val="28"/>
                <w:szCs w:val="28"/>
                <w:highlight w:val="none"/>
                <w:shd w:val="clear" w:color="auto" w:fill="auto"/>
                <w:lang w:val="en-US" w:eastAsia="zh-CN"/>
              </w:rPr>
              <w:t>编制存量产业用地地图，引导空置厂房转型为众创空间等新业态，提供政策支持与补贴，鼓励社会资本参与改造运营。</w:t>
            </w:r>
          </w:p>
          <w:p w14:paraId="7D90B3D2">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动态化监测评估。</w:t>
            </w:r>
            <w:r>
              <w:rPr>
                <w:rFonts w:hint="eastAsia"/>
                <w:b w:val="0"/>
                <w:bCs w:val="0"/>
                <w:sz w:val="28"/>
                <w:szCs w:val="28"/>
                <w:highlight w:val="none"/>
                <w:shd w:val="clear" w:color="auto" w:fill="auto"/>
                <w:lang w:val="en-US" w:eastAsia="zh-CN"/>
              </w:rPr>
              <w:t>建立空置厂房转型台账，定期评估用地利用效率，优化规划与政策，确保资源高效利用。</w:t>
            </w:r>
          </w:p>
          <w:p w14:paraId="44FDCB73">
            <w:pPr>
              <w:pageBreakBefore w:val="0"/>
              <w:kinsoku/>
              <w:wordWrap/>
              <w:autoSpaceDE/>
              <w:autoSpaceDN/>
              <w:bidi w:val="0"/>
              <w:spacing w:line="240" w:lineRule="auto"/>
              <w:rPr>
                <w:rFonts w:hint="default"/>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（三）人才引育创新递进化</w:t>
            </w:r>
          </w:p>
          <w:p w14:paraId="26CEF5EF">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高层次人才集聚。</w:t>
            </w:r>
            <w:r>
              <w:rPr>
                <w:rFonts w:hint="eastAsia"/>
                <w:b w:val="0"/>
                <w:bCs w:val="0"/>
                <w:sz w:val="28"/>
                <w:szCs w:val="28"/>
                <w:highlight w:val="none"/>
                <w:shd w:val="clear" w:color="auto" w:fill="auto"/>
                <w:lang w:val="en-US" w:eastAsia="zh-CN"/>
              </w:rPr>
              <w:t>深化“昌聚工程”人才政策，加大对顶尖人才、领军人才的吸引力度，提供全方位支持。打造“院士产业联盟”，邀请国内外院士围绕医药健康、先进能源等重点产业建立合作关系，设立院士工作站、专家工作室，推动院士团队技术成果在本地转化。</w:t>
            </w:r>
          </w:p>
          <w:p w14:paraId="4070A811">
            <w:pPr>
              <w:pageBreakBefore w:val="0"/>
              <w:kinsoku/>
              <w:wordWrap/>
              <w:autoSpaceDE/>
              <w:autoSpaceDN/>
              <w:bidi w:val="0"/>
              <w:spacing w:line="240" w:lineRule="auto"/>
              <w:ind w:firstLineChars="200"/>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全球化人才服务。</w:t>
            </w:r>
            <w:r>
              <w:rPr>
                <w:rFonts w:hint="eastAsia"/>
                <w:b w:val="0"/>
                <w:bCs w:val="0"/>
                <w:sz w:val="28"/>
                <w:szCs w:val="28"/>
                <w:highlight w:val="none"/>
                <w:shd w:val="clear" w:color="auto" w:fill="auto"/>
                <w:lang w:val="en-US" w:eastAsia="zh-CN"/>
              </w:rPr>
              <w:t>实施“全球科创伙伴计划”，建立海外人才招引网络，设立一站式服务窗口，提升人才服务效率，营造国际化发展环境。</w:t>
            </w:r>
          </w:p>
          <w:p w14:paraId="2E6D1DC2">
            <w:pPr>
              <w:pageBreakBefore w:val="0"/>
              <w:kinsoku/>
              <w:wordWrap/>
              <w:autoSpaceDE/>
              <w:autoSpaceDN/>
              <w:bidi w:val="0"/>
              <w:spacing w:line="240" w:lineRule="auto"/>
              <w:rPr>
                <w:rFonts w:hint="default"/>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（四）金融服务多元化</w:t>
            </w:r>
          </w:p>
          <w:p w14:paraId="248FAABF">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特色化产品开发。</w:t>
            </w:r>
            <w:r>
              <w:rPr>
                <w:rFonts w:hint="eastAsia"/>
                <w:b w:val="0"/>
                <w:bCs w:val="0"/>
                <w:sz w:val="28"/>
                <w:szCs w:val="28"/>
                <w:highlight w:val="none"/>
                <w:shd w:val="clear" w:color="auto" w:fill="auto"/>
                <w:lang w:val="en-US" w:eastAsia="zh-CN"/>
              </w:rPr>
              <w:t>推动银行落地“科创贷”“知识产权质押贷”等特色融资产品，并设立50亿元区级科技产业引导基金，支持早期科创项目。</w:t>
            </w:r>
          </w:p>
          <w:p w14:paraId="39EA9075">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常态化银企对接。</w:t>
            </w:r>
            <w:r>
              <w:rPr>
                <w:rFonts w:hint="eastAsia"/>
                <w:b w:val="0"/>
                <w:bCs w:val="0"/>
                <w:sz w:val="28"/>
                <w:szCs w:val="28"/>
                <w:highlight w:val="none"/>
                <w:shd w:val="clear" w:color="auto" w:fill="auto"/>
                <w:lang w:val="en-US" w:eastAsia="zh-CN"/>
              </w:rPr>
              <w:t>每季度举办“产业+金融”项目路演活动，筛选优质科创企业、重点产业项目进行现场路演，邀请金融机构、投资机构参与对接。建立银企对接长效机制，实行跟踪服务，推动资金快速到位，每年组织银企对接成效统计，确保金融服务精准赋能产业发展。</w:t>
            </w:r>
          </w:p>
          <w:p w14:paraId="0C6DBAEE">
            <w:pPr>
              <w:pageBreakBefore w:val="0"/>
              <w:kinsoku/>
              <w:wordWrap/>
              <w:autoSpaceDE/>
              <w:autoSpaceDN/>
              <w:bidi w:val="0"/>
              <w:spacing w:line="240" w:lineRule="auto"/>
              <w:ind w:firstLineChars="200"/>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重点任务二：常态化发布医药健康、先进能源等产业应用场景清单</w:t>
            </w:r>
          </w:p>
          <w:p w14:paraId="2B0329E9">
            <w:pPr>
              <w:pageBreakBefore w:val="0"/>
              <w:kinsoku/>
              <w:wordWrap/>
              <w:autoSpaceDE/>
              <w:autoSpaceDN/>
              <w:bidi w:val="0"/>
              <w:spacing w:line="240" w:lineRule="auto"/>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精准化场景供给。</w:t>
            </w:r>
            <w:r>
              <w:rPr>
                <w:rFonts w:hint="eastAsia"/>
                <w:b w:val="0"/>
                <w:bCs w:val="0"/>
                <w:sz w:val="28"/>
                <w:szCs w:val="28"/>
                <w:highlight w:val="none"/>
                <w:shd w:val="clear" w:color="auto" w:fill="auto"/>
                <w:lang w:val="en-US" w:eastAsia="zh-CN"/>
              </w:rPr>
              <w:t>建立“产业需求—场景清单—企业匹配”闭环机制，每月收集产业链需求，形成细分领域场景清单，通过多种渠道常态化发布。</w:t>
            </w:r>
          </w:p>
          <w:p w14:paraId="190B0F41">
            <w:pPr>
              <w:pageBreakBefore w:val="0"/>
              <w:kinsoku/>
              <w:wordWrap/>
              <w:autoSpaceDE/>
              <w:autoSpaceDN/>
              <w:bidi w:val="0"/>
              <w:spacing w:line="240" w:lineRule="auto"/>
              <w:rPr>
                <w:rFonts w:hint="eastAsia"/>
                <w:sz w:val="28"/>
                <w:szCs w:val="28"/>
                <w:highlight w:val="none"/>
                <w:shd w:val="clear" w:color="auto" w:fill="auto"/>
                <w:lang w:val="en-US" w:eastAsia="zh-CN"/>
              </w:rPr>
            </w:pPr>
            <w:r>
              <w:rPr>
                <w:rFonts w:hint="eastAsia"/>
                <w:b/>
                <w:bCs/>
                <w:sz w:val="28"/>
                <w:szCs w:val="28"/>
                <w:highlight w:val="none"/>
                <w:shd w:val="clear" w:color="auto" w:fill="auto"/>
                <w:lang w:val="en-US" w:eastAsia="zh-CN"/>
              </w:rPr>
              <w:t>全周期跟踪服务。</w:t>
            </w:r>
            <w:r>
              <w:rPr>
                <w:rFonts w:hint="eastAsia"/>
                <w:sz w:val="28"/>
                <w:szCs w:val="28"/>
                <w:highlight w:val="none"/>
                <w:shd w:val="clear" w:color="auto" w:fill="auto"/>
                <w:lang w:val="en-US" w:eastAsia="zh-CN"/>
              </w:rPr>
              <w:t>对发布的场景实行“一场景一跟踪”管理，组建服务专班解决落地过程中遇到的问题，每年评估成效，优化供给机制，提升营商环境竞争力。</w:t>
            </w:r>
          </w:p>
        </w:tc>
      </w:tr>
    </w:tbl>
    <w:p w14:paraId="4DC10457">
      <w:pPr>
        <w:pStyle w:val="2"/>
        <w:bidi w:val="0"/>
        <w:rPr>
          <w:rFonts w:hint="eastAsia"/>
          <w:lang w:val="en-US" w:eastAsia="zh-CN"/>
        </w:rPr>
      </w:pPr>
      <w:bookmarkStart w:id="99" w:name="_Toc14271"/>
      <w:r>
        <w:rPr>
          <w:rFonts w:hint="eastAsia"/>
          <w:lang w:val="en-US" w:eastAsia="zh-CN"/>
        </w:rPr>
        <w:t>三、夯实公平公正的法治环境</w:t>
      </w:r>
      <w:bookmarkEnd w:id="88"/>
      <w:bookmarkEnd w:id="89"/>
      <w:bookmarkEnd w:id="90"/>
      <w:bookmarkEnd w:id="91"/>
      <w:bookmarkEnd w:id="92"/>
      <w:bookmarkEnd w:id="93"/>
      <w:bookmarkEnd w:id="94"/>
      <w:bookmarkEnd w:id="95"/>
      <w:bookmarkEnd w:id="96"/>
      <w:bookmarkEnd w:id="97"/>
      <w:bookmarkEnd w:id="98"/>
      <w:bookmarkEnd w:id="99"/>
    </w:p>
    <w:p w14:paraId="40E42E4A">
      <w:pPr>
        <w:pStyle w:val="3"/>
        <w:bidi w:val="0"/>
        <w:rPr>
          <w:rFonts w:hint="eastAsia"/>
          <w:lang w:val="en-US" w:eastAsia="zh-CN"/>
        </w:rPr>
      </w:pPr>
      <w:bookmarkStart w:id="100" w:name="_Toc25588"/>
      <w:bookmarkStart w:id="101" w:name="_Toc11732"/>
      <w:bookmarkStart w:id="102" w:name="_Toc22436"/>
      <w:bookmarkStart w:id="103" w:name="_Toc22553"/>
      <w:bookmarkStart w:id="104" w:name="_Toc6044"/>
      <w:bookmarkStart w:id="105" w:name="_Toc13815"/>
      <w:bookmarkStart w:id="106" w:name="_Toc5494"/>
      <w:bookmarkStart w:id="107" w:name="_Toc31231"/>
      <w:r>
        <w:rPr>
          <w:rFonts w:hint="eastAsia"/>
          <w:lang w:val="en-US" w:eastAsia="zh-CN"/>
        </w:rPr>
        <w:t>（一）完善执法标准化建设</w:t>
      </w:r>
      <w:bookmarkEnd w:id="100"/>
      <w:bookmarkEnd w:id="101"/>
      <w:bookmarkEnd w:id="102"/>
      <w:bookmarkEnd w:id="103"/>
      <w:bookmarkEnd w:id="104"/>
      <w:bookmarkEnd w:id="105"/>
      <w:bookmarkEnd w:id="106"/>
      <w:bookmarkEnd w:id="107"/>
    </w:p>
    <w:p w14:paraId="33E60F76">
      <w:pPr>
        <w:pageBreakBefore w:val="0"/>
        <w:kinsoku/>
        <w:wordWrap/>
        <w:autoSpaceDE/>
        <w:autoSpaceDN/>
        <w:bidi w:val="0"/>
        <w:spacing w:line="560" w:lineRule="exact"/>
        <w:rPr>
          <w:rFonts w:hint="eastAsia"/>
          <w:highlight w:val="none"/>
          <w:shd w:val="clear" w:color="auto" w:fill="auto"/>
          <w:lang w:val="en-US" w:eastAsia="zh-CN"/>
        </w:rPr>
      </w:pPr>
      <w:r>
        <w:rPr>
          <w:rFonts w:hint="eastAsia"/>
          <w:b/>
          <w:bCs/>
          <w:highlight w:val="none"/>
          <w:shd w:val="clear" w:color="auto" w:fill="auto"/>
          <w:lang w:val="en-US" w:eastAsia="zh-CN"/>
        </w:rPr>
        <w:t>持续推进包容审慎监管。</w:t>
      </w:r>
      <w:r>
        <w:rPr>
          <w:rFonts w:hint="eastAsia"/>
          <w:b w:val="0"/>
          <w:bCs w:val="0"/>
          <w:highlight w:val="none"/>
          <w:shd w:val="clear" w:color="auto" w:fill="auto"/>
          <w:lang w:val="en-US" w:eastAsia="zh-CN"/>
        </w:rPr>
        <w:t>坚持包容审慎、风险可控原则，探索新业态新模式沙盒监管机制。</w:t>
      </w:r>
      <w:r>
        <w:rPr>
          <w:rFonts w:hint="eastAsia"/>
          <w:highlight w:val="none"/>
          <w:shd w:val="clear" w:color="auto" w:fill="auto"/>
          <w:lang w:val="en-US" w:eastAsia="zh-CN"/>
        </w:rPr>
        <w:t>在现有免罚清单基础上，逐步向文化旅游、卫生健康等更多领域延伸。完善包容审慎执法清单，全面归集市级不予处罚事项、整合区级新增不予处罚事项，构建市区两级事项互通、标准统一、协同联动的执法清单体系。</w:t>
      </w:r>
    </w:p>
    <w:p w14:paraId="76FFBE96">
      <w:pPr>
        <w:pageBreakBefore w:val="0"/>
        <w:kinsoku/>
        <w:wordWrap/>
        <w:autoSpaceDE/>
        <w:autoSpaceDN/>
        <w:bidi w:val="0"/>
        <w:spacing w:line="560" w:lineRule="exact"/>
        <w:ind w:firstLine="640"/>
        <w:rPr>
          <w:rFonts w:hint="eastAsia"/>
          <w:highlight w:val="none"/>
          <w:shd w:val="clear" w:color="auto" w:fill="auto"/>
          <w:lang w:val="en-US" w:eastAsia="zh-CN"/>
        </w:rPr>
      </w:pPr>
      <w:r>
        <w:rPr>
          <w:rFonts w:hint="eastAsia"/>
          <w:b/>
          <w:bCs/>
          <w:highlight w:val="none"/>
          <w:shd w:val="clear" w:color="auto" w:fill="auto"/>
          <w:lang w:val="en-US" w:eastAsia="zh-CN"/>
        </w:rPr>
        <w:t>提升监管执法水平。</w:t>
      </w:r>
      <w:r>
        <w:rPr>
          <w:rFonts w:hint="eastAsia"/>
          <w:highlight w:val="none"/>
          <w:shd w:val="clear" w:color="auto" w:fill="auto"/>
          <w:lang w:val="en-US" w:eastAsia="zh-CN"/>
        </w:rPr>
        <w:t>积极推动跨区域执法交流活动，构建常态化合作关系，定期组织执法人员开展互访交流</w:t>
      </w:r>
      <w:r>
        <w:rPr>
          <w:rStyle w:val="31"/>
          <w:rFonts w:hint="eastAsia"/>
          <w:highlight w:val="none"/>
          <w:shd w:val="clear" w:color="auto" w:fill="auto"/>
          <w:lang w:val="en-US" w:eastAsia="zh-CN"/>
        </w:rPr>
        <w:footnoteReference w:id="9"/>
      </w:r>
      <w:r>
        <w:rPr>
          <w:rFonts w:hint="eastAsia"/>
          <w:highlight w:val="none"/>
          <w:shd w:val="clear" w:color="auto" w:fill="auto"/>
          <w:lang w:val="en-US" w:eastAsia="zh-CN"/>
        </w:rPr>
        <w:t>。提升知识产权行政执法水平，高效办结商标侵权行政处罚类案件</w:t>
      </w:r>
      <w:r>
        <w:rPr>
          <w:rStyle w:val="31"/>
          <w:rFonts w:hint="eastAsia"/>
          <w:highlight w:val="none"/>
          <w:shd w:val="clear" w:color="auto" w:fill="auto"/>
          <w:lang w:val="en-US" w:eastAsia="zh-CN"/>
        </w:rPr>
        <w:footnoteReference w:id="10"/>
      </w:r>
      <w:r>
        <w:rPr>
          <w:rFonts w:hint="eastAsia"/>
          <w:highlight w:val="none"/>
          <w:shd w:val="clear" w:color="auto" w:fill="auto"/>
          <w:lang w:val="en-US" w:eastAsia="zh-CN"/>
        </w:rPr>
        <w:t>。</w:t>
      </w:r>
    </w:p>
    <w:p w14:paraId="55F72DEF">
      <w:pPr>
        <w:pStyle w:val="3"/>
        <w:bidi w:val="0"/>
        <w:rPr>
          <w:rFonts w:hint="eastAsia"/>
          <w:lang w:val="en-US" w:eastAsia="zh-CN"/>
        </w:rPr>
      </w:pPr>
      <w:bookmarkStart w:id="108" w:name="_Toc30088"/>
      <w:bookmarkStart w:id="109" w:name="_Toc22862"/>
      <w:bookmarkStart w:id="110" w:name="_Toc29572"/>
      <w:bookmarkStart w:id="111" w:name="_Toc12325"/>
      <w:bookmarkStart w:id="112" w:name="_Toc26975"/>
      <w:bookmarkStart w:id="113" w:name="_Toc10185"/>
      <w:bookmarkStart w:id="114" w:name="_Toc20652"/>
      <w:bookmarkStart w:id="115" w:name="_Toc16094"/>
      <w:r>
        <w:rPr>
          <w:rFonts w:hint="eastAsia"/>
          <w:lang w:val="en-US" w:eastAsia="zh-CN"/>
        </w:rPr>
        <w:t>（二）持续探索创新执法模式</w:t>
      </w:r>
      <w:bookmarkEnd w:id="108"/>
      <w:bookmarkEnd w:id="109"/>
      <w:bookmarkEnd w:id="110"/>
      <w:bookmarkEnd w:id="111"/>
      <w:bookmarkEnd w:id="112"/>
      <w:bookmarkEnd w:id="113"/>
      <w:bookmarkEnd w:id="114"/>
      <w:bookmarkEnd w:id="115"/>
    </w:p>
    <w:p w14:paraId="0D272814">
      <w:pPr>
        <w:pageBreakBefore w:val="0"/>
        <w:kinsoku/>
        <w:wordWrap/>
        <w:autoSpaceDE/>
        <w:autoSpaceDN/>
        <w:bidi w:val="0"/>
        <w:spacing w:line="560" w:lineRule="exact"/>
        <w:rPr>
          <w:rFonts w:hint="default"/>
          <w:highlight w:val="none"/>
          <w:shd w:val="clear" w:color="auto" w:fill="auto"/>
          <w:lang w:val="en-US" w:eastAsia="zh-CN"/>
        </w:rPr>
      </w:pPr>
      <w:r>
        <w:rPr>
          <w:rFonts w:hint="default"/>
          <w:b/>
          <w:bCs/>
          <w:highlight w:val="none"/>
          <w:shd w:val="clear" w:color="auto" w:fill="auto"/>
          <w:lang w:val="en-US" w:eastAsia="zh-CN"/>
        </w:rPr>
        <w:t>积极</w:t>
      </w:r>
      <w:r>
        <w:rPr>
          <w:rFonts w:hint="eastAsia"/>
          <w:b/>
          <w:bCs/>
          <w:highlight w:val="none"/>
          <w:shd w:val="clear" w:color="auto" w:fill="auto"/>
          <w:lang w:val="en-US" w:eastAsia="zh-CN"/>
        </w:rPr>
        <w:t>推动柔性执法改革。</w:t>
      </w:r>
      <w:r>
        <w:rPr>
          <w:rFonts w:hint="eastAsia"/>
          <w:b w:val="0"/>
          <w:bCs w:val="0"/>
          <w:highlight w:val="none"/>
          <w:shd w:val="clear" w:color="auto" w:fill="auto"/>
          <w:lang w:val="en-US" w:eastAsia="zh-CN"/>
        </w:rPr>
        <w:t>深化“风险+信用”分级分类监管机制，落实《昌平区一体化综合监管“无事不扰”企业清单动态管理工作机制》机制，对清单企业实施动态管理</w:t>
      </w:r>
      <w:r>
        <w:rPr>
          <w:rStyle w:val="31"/>
          <w:rFonts w:hint="eastAsia"/>
          <w:b w:val="0"/>
          <w:bCs w:val="0"/>
          <w:highlight w:val="none"/>
          <w:shd w:val="clear" w:color="auto" w:fill="auto"/>
          <w:lang w:val="en-US" w:eastAsia="zh-CN"/>
        </w:rPr>
        <w:footnoteReference w:id="11"/>
      </w:r>
      <w:r>
        <w:rPr>
          <w:rFonts w:hint="eastAsia"/>
          <w:b w:val="0"/>
          <w:bCs w:val="0"/>
          <w:highlight w:val="none"/>
          <w:shd w:val="clear" w:color="auto" w:fill="auto"/>
          <w:lang w:val="en-US" w:eastAsia="zh-CN"/>
        </w:rPr>
        <w:t>。</w:t>
      </w:r>
    </w:p>
    <w:p w14:paraId="12645BFE">
      <w:pPr>
        <w:pageBreakBefore w:val="0"/>
        <w:kinsoku/>
        <w:wordWrap/>
        <w:autoSpaceDE/>
        <w:autoSpaceDN/>
        <w:bidi w:val="0"/>
        <w:spacing w:line="560" w:lineRule="exact"/>
        <w:rPr>
          <w:rFonts w:hint="eastAsia"/>
          <w:b w:val="0"/>
          <w:bCs w:val="0"/>
          <w:highlight w:val="none"/>
          <w:shd w:val="clear" w:color="auto" w:fill="auto"/>
          <w:lang w:val="en-US" w:eastAsia="zh-CN"/>
        </w:rPr>
      </w:pPr>
      <w:r>
        <w:rPr>
          <w:rFonts w:hint="eastAsia"/>
          <w:b/>
          <w:bCs/>
          <w:highlight w:val="none"/>
          <w:shd w:val="clear" w:color="auto" w:fill="auto"/>
          <w:lang w:val="en-US" w:eastAsia="zh-CN"/>
        </w:rPr>
        <w:t>探索打造“互动治理型”执法模式。</w:t>
      </w:r>
      <w:r>
        <w:rPr>
          <w:rFonts w:hint="eastAsia"/>
          <w:b w:val="0"/>
          <w:bCs w:val="0"/>
          <w:highlight w:val="none"/>
          <w:shd w:val="clear" w:color="auto" w:fill="auto"/>
          <w:lang w:val="en-US" w:eastAsia="zh-CN"/>
        </w:rPr>
        <w:t>推行涉企行政检查“预约式”指导服务，按照市级梳理的指导服务事项，建立线上预约渠道，依托京通平台开设的专项预约服务端口，支撑企业预约需求，监管部门精准提供行政指导、政策咨询、合规预判等前置服务，构建“企业预约、部门精准服务、事前合规指导、闭环回访提升”的新型监管服务机制</w:t>
      </w:r>
      <w:r>
        <w:rPr>
          <w:rStyle w:val="31"/>
          <w:rFonts w:hint="eastAsia"/>
          <w:b w:val="0"/>
          <w:bCs w:val="0"/>
          <w:highlight w:val="none"/>
          <w:shd w:val="clear" w:color="auto" w:fill="auto"/>
          <w:lang w:val="en-US" w:eastAsia="zh-CN"/>
        </w:rPr>
        <w:footnoteReference w:id="12"/>
      </w:r>
      <w:r>
        <w:rPr>
          <w:rFonts w:hint="eastAsia"/>
          <w:b w:val="0"/>
          <w:bCs w:val="0"/>
          <w:highlight w:val="none"/>
          <w:shd w:val="clear" w:color="auto" w:fill="auto"/>
          <w:lang w:val="en-US" w:eastAsia="zh-CN"/>
        </w:rPr>
        <w:t>。</w:t>
      </w:r>
    </w:p>
    <w:p w14:paraId="120C1DCE">
      <w:pPr>
        <w:pStyle w:val="3"/>
        <w:bidi w:val="0"/>
        <w:rPr>
          <w:rFonts w:hint="default"/>
          <w:lang w:val="en-US" w:eastAsia="zh-CN"/>
        </w:rPr>
      </w:pPr>
      <w:bookmarkStart w:id="116" w:name="_Toc7788"/>
      <w:bookmarkStart w:id="117" w:name="_Toc21892"/>
      <w:bookmarkStart w:id="118" w:name="_Toc15830"/>
      <w:bookmarkStart w:id="119" w:name="_Toc28314"/>
      <w:bookmarkStart w:id="120" w:name="_Toc27237"/>
      <w:bookmarkStart w:id="121" w:name="_Toc13488"/>
      <w:bookmarkStart w:id="122" w:name="_Toc12336"/>
      <w:bookmarkStart w:id="123" w:name="_Toc27811"/>
      <w:r>
        <w:rPr>
          <w:rFonts w:hint="eastAsia"/>
          <w:lang w:val="en-US" w:eastAsia="zh-CN"/>
        </w:rPr>
        <w:t>（三）不断提升司法保障水平</w:t>
      </w:r>
      <w:bookmarkEnd w:id="116"/>
      <w:bookmarkEnd w:id="117"/>
      <w:bookmarkEnd w:id="118"/>
      <w:bookmarkEnd w:id="119"/>
      <w:bookmarkEnd w:id="120"/>
      <w:bookmarkEnd w:id="121"/>
      <w:bookmarkEnd w:id="122"/>
      <w:bookmarkEnd w:id="123"/>
    </w:p>
    <w:p w14:paraId="05FB4335">
      <w:pPr>
        <w:pageBreakBefore w:val="0"/>
        <w:kinsoku/>
        <w:wordWrap/>
        <w:autoSpaceDE/>
        <w:autoSpaceDN/>
        <w:bidi w:val="0"/>
        <w:spacing w:line="560" w:lineRule="exact"/>
        <w:rPr>
          <w:rFonts w:hint="default" w:ascii="仿宋_GB2312" w:hAnsi="仿宋_GB2312" w:eastAsia="仿宋_GB2312" w:cs="仿宋_GB2312"/>
          <w:b w:val="0"/>
          <w:bCs w:val="0"/>
          <w:sz w:val="32"/>
          <w:szCs w:val="32"/>
          <w:highlight w:val="none"/>
          <w:shd w:val="clear" w:color="auto" w:fill="auto"/>
          <w:lang w:val="en-US" w:eastAsia="zh-CN"/>
        </w:rPr>
      </w:pPr>
      <w:r>
        <w:rPr>
          <w:rFonts w:hint="eastAsia" w:ascii="仿宋_GB2312" w:hAnsi="仿宋_GB2312" w:eastAsia="仿宋_GB2312" w:cs="仿宋_GB2312"/>
          <w:b/>
          <w:bCs/>
          <w:kern w:val="2"/>
          <w:sz w:val="32"/>
          <w:szCs w:val="32"/>
          <w:highlight w:val="none"/>
          <w:shd w:val="clear" w:color="auto" w:fill="auto"/>
          <w:lang w:val="en-US" w:eastAsia="zh-CN" w:bidi="ar-SA"/>
        </w:rPr>
        <w:t>完善多元纠纷化解体系</w:t>
      </w:r>
      <w:r>
        <w:rPr>
          <w:rFonts w:hint="eastAsia" w:cs="仿宋_GB2312"/>
          <w:b/>
          <w:bCs/>
          <w:kern w:val="2"/>
          <w:sz w:val="32"/>
          <w:szCs w:val="32"/>
          <w:highlight w:val="none"/>
          <w:shd w:val="clear" w:color="auto" w:fill="auto"/>
          <w:lang w:val="en-US" w:eastAsia="zh-CN" w:bidi="ar-SA"/>
        </w:rPr>
        <w:t>。</w:t>
      </w:r>
      <w:r>
        <w:rPr>
          <w:rFonts w:hint="eastAsia" w:cs="仿宋_GB2312"/>
          <w:b w:val="0"/>
          <w:bCs w:val="0"/>
          <w:kern w:val="2"/>
          <w:sz w:val="32"/>
          <w:szCs w:val="32"/>
          <w:highlight w:val="none"/>
          <w:shd w:val="clear" w:color="auto" w:fill="auto"/>
          <w:lang w:val="en-US" w:eastAsia="zh-CN" w:bidi="ar-SA"/>
        </w:rPr>
        <w:t>平等保护各类市场主体合法权益，依法妥善化解各类矛盾纠纷，健全“双诉双融”共治机制，优化法治化营商环境。</w:t>
      </w:r>
      <w:r>
        <w:rPr>
          <w:rFonts w:hint="eastAsia" w:ascii="仿宋_GB2312" w:hAnsi="仿宋_GB2312" w:eastAsia="仿宋_GB2312" w:cs="仿宋_GB2312"/>
          <w:b w:val="0"/>
          <w:bCs w:val="0"/>
          <w:sz w:val="32"/>
          <w:szCs w:val="32"/>
          <w:highlight w:val="none"/>
          <w:shd w:val="clear" w:color="auto" w:fill="auto"/>
          <w:lang w:val="en-US" w:eastAsia="zh-CN"/>
        </w:rPr>
        <w:t>健全“热线+网格”机制，为每个网格配备“1名调解员+1名法律顾问+N名网格员”专业调解团队，下沉至社区、商圈、企业，强化溯源治理和诉求解决</w:t>
      </w:r>
      <w:r>
        <w:rPr>
          <w:rStyle w:val="31"/>
          <w:rFonts w:hint="eastAsia" w:ascii="仿宋_GB2312" w:hAnsi="仿宋_GB2312" w:eastAsia="仿宋_GB2312" w:cs="仿宋_GB2312"/>
          <w:b w:val="0"/>
          <w:bCs w:val="0"/>
          <w:sz w:val="32"/>
          <w:szCs w:val="32"/>
          <w:highlight w:val="none"/>
          <w:shd w:val="clear" w:color="auto" w:fill="auto"/>
          <w:lang w:val="en-US" w:eastAsia="zh-CN"/>
        </w:rPr>
        <w:footnoteReference w:id="13"/>
      </w:r>
      <w:r>
        <w:rPr>
          <w:rFonts w:hint="eastAsia" w:ascii="仿宋_GB2312" w:hAnsi="仿宋_GB2312" w:eastAsia="仿宋_GB2312" w:cs="仿宋_GB2312"/>
          <w:b w:val="0"/>
          <w:bCs w:val="0"/>
          <w:sz w:val="32"/>
          <w:szCs w:val="32"/>
          <w:highlight w:val="none"/>
          <w:shd w:val="clear" w:color="auto" w:fill="auto"/>
          <w:lang w:val="en-US" w:eastAsia="zh-CN"/>
        </w:rPr>
        <w:t>。</w:t>
      </w:r>
      <w:r>
        <w:rPr>
          <w:rFonts w:hint="eastAsia" w:cs="仿宋_GB2312"/>
          <w:b w:val="0"/>
          <w:bCs w:val="0"/>
          <w:sz w:val="32"/>
          <w:szCs w:val="32"/>
          <w:highlight w:val="none"/>
          <w:shd w:val="clear" w:color="auto" w:fill="auto"/>
          <w:lang w:val="en-US" w:eastAsia="zh-CN"/>
        </w:rPr>
        <w:t>完善调解仲裁智能体“昌小仲·智慧仲裁”功能模块，持续探索“大语言模型+昌小仲AI数智员工”交互应用。</w:t>
      </w:r>
      <w:r>
        <w:rPr>
          <w:rFonts w:hint="eastAsia"/>
          <w:b w:val="0"/>
          <w:bCs w:val="0"/>
          <w:highlight w:val="none"/>
          <w:shd w:val="clear" w:color="auto" w:fill="auto"/>
          <w:lang w:val="en-US" w:eastAsia="zh-CN"/>
        </w:rPr>
        <w:t>用好“法治助企·双免白名单”工作机制，稳步扩大在重点领域和重点行业的覆盖范围；深化动态信用监管机制，切实保障白名单管理的规范性、科学性和有序性。</w:t>
      </w:r>
    </w:p>
    <w:p w14:paraId="386774AB">
      <w:pPr>
        <w:pageBreakBefore w:val="0"/>
        <w:kinsoku/>
        <w:wordWrap/>
        <w:autoSpaceDE/>
        <w:autoSpaceDN/>
        <w:bidi w:val="0"/>
        <w:spacing w:line="560" w:lineRule="exact"/>
        <w:ind w:firstLine="640"/>
        <w:outlineLvl w:val="9"/>
        <w:rPr>
          <w:rFonts w:hint="eastAsia" w:ascii="仿宋_GB2312" w:hAnsi="仿宋_GB2312" w:eastAsia="仿宋_GB2312" w:cs="仿宋_GB2312"/>
          <w:color w:val="auto"/>
          <w:w w:val="100"/>
          <w:sz w:val="32"/>
          <w:szCs w:val="32"/>
          <w:highlight w:val="none"/>
          <w:u w:val="none"/>
          <w:lang w:val="en-US" w:eastAsia="zh-CN"/>
        </w:rPr>
      </w:pPr>
      <w:r>
        <w:rPr>
          <w:rFonts w:hint="eastAsia" w:cs="仿宋_GB2312"/>
          <w:b/>
          <w:bCs/>
          <w:sz w:val="32"/>
          <w:szCs w:val="32"/>
          <w:highlight w:val="none"/>
          <w:shd w:val="clear" w:color="auto" w:fill="auto"/>
          <w:lang w:val="en-US" w:eastAsia="zh-CN"/>
        </w:rPr>
        <w:t>健全高效便捷的诉讼服务。</w:t>
      </w:r>
      <w:r>
        <w:rPr>
          <w:rFonts w:hint="default"/>
          <w:highlight w:val="none"/>
          <w:lang w:val="en-US" w:eastAsia="zh-CN"/>
        </w:rPr>
        <w:t>深化繁简分流改革，构建“全流程、个性化”程序引导体系，</w:t>
      </w:r>
      <w:r>
        <w:rPr>
          <w:rFonts w:hint="eastAsia"/>
          <w:highlight w:val="none"/>
          <w:lang w:val="en-US" w:eastAsia="zh-CN"/>
        </w:rPr>
        <w:t>进一步提高小额诉讼和简易程序适用率</w:t>
      </w:r>
      <w:r>
        <w:rPr>
          <w:rFonts w:hint="default"/>
          <w:highlight w:val="none"/>
          <w:lang w:val="en-US" w:eastAsia="zh-CN"/>
        </w:rPr>
        <w:t>。优化立案工作、推行要素式审判、深化执行事务集约化，压减立、审、执各环节时限。持续升级“云端”诉讼生态，完善在线立案、在线阅卷、在线送达、在线庭审</w:t>
      </w:r>
      <w:r>
        <w:rPr>
          <w:rFonts w:hint="eastAsia"/>
          <w:highlight w:val="none"/>
          <w:lang w:val="en-US" w:eastAsia="zh-CN"/>
        </w:rPr>
        <w:t>等</w:t>
      </w:r>
      <w:r>
        <w:rPr>
          <w:rFonts w:hint="default"/>
          <w:highlight w:val="none"/>
          <w:lang w:val="en-US" w:eastAsia="zh-CN"/>
        </w:rPr>
        <w:t>“一站式”电子诉讼服务</w:t>
      </w:r>
      <w:r>
        <w:rPr>
          <w:rStyle w:val="31"/>
          <w:rFonts w:hint="eastAsia" w:ascii="仿宋_GB2312" w:hAnsi="仿宋_GB2312" w:eastAsia="仿宋_GB2312" w:cs="仿宋_GB2312"/>
          <w:color w:val="auto"/>
          <w:w w:val="100"/>
          <w:sz w:val="32"/>
          <w:szCs w:val="32"/>
          <w:highlight w:val="none"/>
          <w:u w:val="none"/>
          <w:lang w:val="en-US" w:eastAsia="zh-CN"/>
        </w:rPr>
        <w:footnoteReference w:id="14"/>
      </w:r>
      <w:r>
        <w:rPr>
          <w:rFonts w:hint="eastAsia" w:ascii="仿宋_GB2312" w:hAnsi="仿宋_GB2312" w:eastAsia="仿宋_GB2312" w:cs="仿宋_GB2312"/>
          <w:color w:val="auto"/>
          <w:w w:val="100"/>
          <w:sz w:val="32"/>
          <w:szCs w:val="32"/>
          <w:highlight w:val="none"/>
          <w:u w:val="none"/>
          <w:lang w:val="en-US" w:eastAsia="zh-CN"/>
        </w:rPr>
        <w: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D00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9129" w:type="dxa"/>
            <w:vAlign w:val="center"/>
          </w:tcPr>
          <w:p w14:paraId="7111AE7B">
            <w:pPr>
              <w:keepNext/>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kern w:val="0"/>
                <w:sz w:val="24"/>
                <w:szCs w:val="20"/>
                <w:highlight w:val="none"/>
                <w:shd w:val="clear" w:color="auto" w:fill="auto"/>
                <w:lang w:val="en-US" w:eastAsia="zh-CN"/>
              </w:rPr>
            </w:pPr>
            <w:r>
              <w:rPr>
                <w:rFonts w:hint="eastAsia" w:ascii="黑体" w:hAnsi="黑体" w:eastAsia="黑体"/>
                <w:b w:val="0"/>
                <w:bCs w:val="0"/>
                <w:kern w:val="0"/>
                <w:sz w:val="28"/>
                <w:szCs w:val="28"/>
                <w:highlight w:val="none"/>
                <w:shd w:val="clear" w:color="auto" w:fill="auto"/>
              </w:rPr>
              <w:t>专栏</w:t>
            </w:r>
            <w:r>
              <w:rPr>
                <w:rFonts w:hint="eastAsia" w:ascii="黑体" w:hAnsi="黑体" w:eastAsia="黑体"/>
                <w:b w:val="0"/>
                <w:bCs w:val="0"/>
                <w:kern w:val="0"/>
                <w:sz w:val="28"/>
                <w:szCs w:val="28"/>
                <w:highlight w:val="none"/>
                <w:shd w:val="clear" w:color="auto" w:fill="auto"/>
                <w:lang w:val="en-US" w:eastAsia="zh-CN"/>
              </w:rPr>
              <w:t>重点任务</w:t>
            </w:r>
          </w:p>
        </w:tc>
      </w:tr>
      <w:tr w14:paraId="3AB6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9" w:type="dxa"/>
            <w:vAlign w:val="center"/>
          </w:tcPr>
          <w:p w14:paraId="15030343">
            <w:pPr>
              <w:pStyle w:val="13"/>
              <w:pageBreakBefore w:val="0"/>
              <w:kinsoku/>
              <w:wordWrap/>
              <w:autoSpaceDE/>
              <w:autoSpaceDN/>
              <w:bidi w:val="0"/>
              <w:spacing w:line="240" w:lineRule="auto"/>
              <w:ind w:firstLine="640"/>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重点任务一：深化“法治助企・双免白名单”机制建设</w:t>
            </w:r>
          </w:p>
          <w:p w14:paraId="3498D48E">
            <w:pPr>
              <w:pStyle w:val="13"/>
              <w:pageBreakBefore w:val="0"/>
              <w:kinsoku/>
              <w:wordWrap/>
              <w:autoSpaceDE/>
              <w:autoSpaceDN/>
              <w:bidi w:val="0"/>
              <w:spacing w:line="240" w:lineRule="auto"/>
              <w:ind w:firstLine="640"/>
              <w:rPr>
                <w:rFonts w:hint="eastAsia"/>
                <w:b w:val="0"/>
                <w:bCs w:val="0"/>
                <w:color w:val="auto"/>
                <w:sz w:val="28"/>
                <w:szCs w:val="28"/>
                <w:highlight w:val="none"/>
                <w:shd w:val="clear" w:color="auto" w:fill="auto"/>
                <w:lang w:val="en-US" w:eastAsia="zh-CN"/>
              </w:rPr>
            </w:pPr>
            <w:r>
              <w:rPr>
                <w:rFonts w:hint="eastAsia"/>
                <w:b/>
                <w:bCs/>
                <w:color w:val="auto"/>
                <w:sz w:val="28"/>
                <w:szCs w:val="28"/>
                <w:highlight w:val="none"/>
                <w:shd w:val="clear" w:color="auto" w:fill="auto"/>
                <w:lang w:val="en-US" w:eastAsia="zh-CN"/>
              </w:rPr>
              <w:t>健全白名单全周期管理体系。</w:t>
            </w:r>
            <w:r>
              <w:rPr>
                <w:rFonts w:hint="eastAsia"/>
                <w:b w:val="0"/>
                <w:bCs w:val="0"/>
                <w:color w:val="auto"/>
                <w:sz w:val="28"/>
                <w:szCs w:val="28"/>
                <w:highlight w:val="none"/>
                <w:shd w:val="clear" w:color="auto" w:fill="auto"/>
                <w:lang w:val="en-US" w:eastAsia="zh-CN"/>
              </w:rPr>
              <w:t>优化跨部门联合评审流程，完善适配科创企业特点的信用评价标准，扩大白名单企业覆盖范围，优化常态化名录动态更新、风险预警和退出机制，夯实制度运行基础。</w:t>
            </w:r>
          </w:p>
          <w:p w14:paraId="14FCD9EB">
            <w:pPr>
              <w:pStyle w:val="13"/>
              <w:pageBreakBefore w:val="0"/>
              <w:kinsoku/>
              <w:wordWrap/>
              <w:autoSpaceDE/>
              <w:autoSpaceDN/>
              <w:bidi w:val="0"/>
              <w:spacing w:line="240" w:lineRule="auto"/>
              <w:ind w:firstLine="640"/>
              <w:rPr>
                <w:rFonts w:hint="eastAsia"/>
                <w:b w:val="0"/>
                <w:bCs w:val="0"/>
                <w:color w:val="auto"/>
                <w:sz w:val="28"/>
                <w:szCs w:val="28"/>
                <w:highlight w:val="none"/>
                <w:shd w:val="clear" w:color="auto" w:fill="auto"/>
                <w:lang w:val="en-US" w:eastAsia="zh-CN"/>
              </w:rPr>
            </w:pPr>
            <w:r>
              <w:rPr>
                <w:rFonts w:hint="eastAsia"/>
                <w:b/>
                <w:bCs/>
                <w:color w:val="auto"/>
                <w:sz w:val="28"/>
                <w:szCs w:val="28"/>
                <w:highlight w:val="none"/>
                <w:shd w:val="clear" w:color="auto" w:fill="auto"/>
                <w:lang w:val="en-US" w:eastAsia="zh-CN"/>
              </w:rPr>
              <w:t>拓展守信企业法治服务场景。</w:t>
            </w:r>
            <w:r>
              <w:rPr>
                <w:rFonts w:hint="eastAsia"/>
                <w:b w:val="0"/>
                <w:bCs w:val="0"/>
                <w:color w:val="auto"/>
                <w:sz w:val="28"/>
                <w:szCs w:val="28"/>
                <w:highlight w:val="none"/>
                <w:shd w:val="clear" w:color="auto" w:fill="auto"/>
                <w:lang w:val="en-US" w:eastAsia="zh-CN"/>
              </w:rPr>
              <w:t>在保全“双免”核心举措基础上，延伸商事纠纷前置调解、企业合规指引、法律风险预警等配套服务，减少司法程序对企业正常经营的影响，放大信用激励效能。</w:t>
            </w:r>
          </w:p>
          <w:p w14:paraId="0071E2C9">
            <w:pPr>
              <w:pStyle w:val="13"/>
              <w:pageBreakBefore w:val="0"/>
              <w:kinsoku/>
              <w:wordWrap/>
              <w:autoSpaceDE/>
              <w:autoSpaceDN/>
              <w:bidi w:val="0"/>
              <w:spacing w:line="240" w:lineRule="auto"/>
              <w:ind w:firstLine="640"/>
              <w:rPr>
                <w:rFonts w:hint="eastAsia"/>
                <w:b w:val="0"/>
                <w:bCs w:val="0"/>
                <w:sz w:val="28"/>
                <w:szCs w:val="28"/>
                <w:highlight w:val="yellow"/>
                <w:shd w:val="clear" w:color="auto" w:fill="auto"/>
                <w:lang w:val="en-US" w:eastAsia="zh-CN"/>
              </w:rPr>
            </w:pPr>
            <w:r>
              <w:rPr>
                <w:rFonts w:hint="eastAsia"/>
                <w:b/>
                <w:bCs/>
                <w:color w:val="auto"/>
                <w:sz w:val="28"/>
                <w:szCs w:val="28"/>
                <w:highlight w:val="none"/>
                <w:shd w:val="clear" w:color="auto" w:fill="auto"/>
                <w:lang w:val="en-US" w:eastAsia="zh-CN"/>
              </w:rPr>
              <w:t>总结提炼可复制实践样板。</w:t>
            </w:r>
            <w:r>
              <w:rPr>
                <w:rFonts w:hint="eastAsia"/>
                <w:b w:val="0"/>
                <w:bCs w:val="0"/>
                <w:color w:val="auto"/>
                <w:sz w:val="28"/>
                <w:szCs w:val="28"/>
                <w:highlight w:val="none"/>
                <w:shd w:val="clear" w:color="auto" w:fill="auto"/>
                <w:lang w:val="en-US" w:eastAsia="zh-CN"/>
              </w:rPr>
              <w:t>持续跟踪白名单企业运行成效，梳理典型案例，健全成效评估机制，固化工作模式，推动昌平法治助企经验对外输出，打造区域法治化营商环境特色品牌。</w:t>
            </w:r>
          </w:p>
          <w:p w14:paraId="111863B5">
            <w:pPr>
              <w:pStyle w:val="13"/>
              <w:pageBreakBefore w:val="0"/>
              <w:kinsoku/>
              <w:wordWrap/>
              <w:autoSpaceDE/>
              <w:autoSpaceDN/>
              <w:bidi w:val="0"/>
              <w:spacing w:line="240" w:lineRule="auto"/>
              <w:ind w:firstLine="640"/>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重点任务二：完善多元解纷</w:t>
            </w:r>
          </w:p>
          <w:p w14:paraId="0B7F4F37">
            <w:pPr>
              <w:pStyle w:val="13"/>
              <w:pageBreakBefore w:val="0"/>
              <w:kinsoku/>
              <w:wordWrap/>
              <w:autoSpaceDE/>
              <w:autoSpaceDN/>
              <w:bidi w:val="0"/>
              <w:spacing w:line="240" w:lineRule="auto"/>
              <w:ind w:firstLine="640"/>
              <w:rPr>
                <w:rFonts w:hint="eastAsia"/>
                <w:b w:val="0"/>
                <w:bCs w:val="0"/>
                <w:color w:val="auto"/>
                <w:sz w:val="28"/>
                <w:szCs w:val="28"/>
                <w:highlight w:val="none"/>
                <w:shd w:val="clear" w:color="auto" w:fill="auto"/>
              </w:rPr>
            </w:pPr>
            <w:r>
              <w:rPr>
                <w:rFonts w:hint="eastAsia"/>
                <w:b/>
                <w:bCs/>
                <w:color w:val="auto"/>
                <w:sz w:val="28"/>
                <w:szCs w:val="28"/>
                <w:highlight w:val="none"/>
                <w:shd w:val="clear" w:color="auto" w:fill="auto"/>
                <w:lang w:val="en-US" w:eastAsia="zh-CN"/>
              </w:rPr>
              <w:t>关注企业需求</w:t>
            </w:r>
            <w:r>
              <w:rPr>
                <w:rFonts w:hint="eastAsia"/>
                <w:b/>
                <w:bCs/>
                <w:color w:val="auto"/>
                <w:sz w:val="28"/>
                <w:szCs w:val="28"/>
                <w:highlight w:val="none"/>
                <w:shd w:val="clear" w:color="auto" w:fill="auto"/>
                <w:lang w:eastAsia="zh-CN"/>
              </w:rPr>
              <w:t>。</w:t>
            </w:r>
            <w:r>
              <w:rPr>
                <w:rFonts w:hint="eastAsia"/>
                <w:b w:val="0"/>
                <w:bCs w:val="0"/>
                <w:color w:val="auto"/>
                <w:sz w:val="28"/>
                <w:szCs w:val="28"/>
                <w:highlight w:val="none"/>
                <w:shd w:val="clear" w:color="auto" w:fill="auto"/>
              </w:rPr>
              <w:t>让企业从参与者变成设计者，通过</w:t>
            </w:r>
            <w:r>
              <w:rPr>
                <w:rFonts w:hint="eastAsia"/>
                <w:b w:val="0"/>
                <w:bCs w:val="0"/>
                <w:color w:val="auto"/>
                <w:sz w:val="28"/>
                <w:szCs w:val="28"/>
                <w:highlight w:val="none"/>
                <w:shd w:val="clear" w:color="auto" w:fill="auto"/>
                <w:lang w:val="en-US" w:eastAsia="zh-CN"/>
              </w:rPr>
              <w:t>制发</w:t>
            </w:r>
            <w:r>
              <w:rPr>
                <w:rFonts w:hint="eastAsia"/>
                <w:b w:val="0"/>
                <w:bCs w:val="0"/>
                <w:color w:val="auto"/>
                <w:sz w:val="28"/>
                <w:szCs w:val="28"/>
                <w:highlight w:val="none"/>
                <w:shd w:val="clear" w:color="auto" w:fill="auto"/>
              </w:rPr>
              <w:t>司法服务企业需求清单</w:t>
            </w:r>
            <w:r>
              <w:rPr>
                <w:rFonts w:hint="eastAsia"/>
                <w:b w:val="0"/>
                <w:bCs w:val="0"/>
                <w:color w:val="auto"/>
                <w:sz w:val="28"/>
                <w:szCs w:val="28"/>
                <w:highlight w:val="none"/>
                <w:shd w:val="clear" w:color="auto" w:fill="auto"/>
                <w:lang w:eastAsia="zh-CN"/>
              </w:rPr>
              <w:t>，</w:t>
            </w:r>
            <w:r>
              <w:rPr>
                <w:rFonts w:hint="eastAsia"/>
                <w:b w:val="0"/>
                <w:bCs w:val="0"/>
                <w:color w:val="auto"/>
                <w:sz w:val="28"/>
                <w:szCs w:val="28"/>
                <w:highlight w:val="none"/>
                <w:shd w:val="clear" w:color="auto" w:fill="auto"/>
              </w:rPr>
              <w:t>为真正了解企业需求提供了线上和线下的便捷沟通渠道</w:t>
            </w:r>
            <w:r>
              <w:rPr>
                <w:rFonts w:hint="eastAsia"/>
                <w:b w:val="0"/>
                <w:bCs w:val="0"/>
                <w:color w:val="auto"/>
                <w:sz w:val="28"/>
                <w:szCs w:val="28"/>
                <w:highlight w:val="none"/>
                <w:shd w:val="clear" w:color="auto" w:fill="auto"/>
                <w:lang w:eastAsia="zh-CN"/>
              </w:rPr>
              <w:t>。</w:t>
            </w:r>
            <w:r>
              <w:rPr>
                <w:rFonts w:hint="eastAsia"/>
                <w:b w:val="0"/>
                <w:bCs w:val="0"/>
                <w:color w:val="auto"/>
                <w:sz w:val="28"/>
                <w:szCs w:val="28"/>
                <w:highlight w:val="none"/>
                <w:shd w:val="clear" w:color="auto" w:fill="auto"/>
              </w:rPr>
              <w:t>通过</w:t>
            </w:r>
            <w:r>
              <w:rPr>
                <w:rFonts w:hint="eastAsia"/>
                <w:b w:val="0"/>
                <w:bCs w:val="0"/>
                <w:color w:val="auto"/>
                <w:sz w:val="28"/>
                <w:szCs w:val="28"/>
                <w:highlight w:val="none"/>
                <w:shd w:val="clear" w:color="auto" w:fill="auto"/>
                <w:lang w:val="en-US" w:eastAsia="zh-CN"/>
              </w:rPr>
              <w:t>推出</w:t>
            </w:r>
            <w:r>
              <w:rPr>
                <w:rFonts w:hint="eastAsia"/>
                <w:b w:val="0"/>
                <w:bCs w:val="0"/>
                <w:color w:val="auto"/>
                <w:sz w:val="28"/>
                <w:szCs w:val="28"/>
                <w:highlight w:val="none"/>
                <w:shd w:val="clear" w:color="auto" w:fill="auto"/>
              </w:rPr>
              <w:t>普法菜单</w:t>
            </w:r>
            <w:r>
              <w:rPr>
                <w:rFonts w:hint="eastAsia"/>
                <w:b w:val="0"/>
                <w:bCs w:val="0"/>
                <w:color w:val="auto"/>
                <w:sz w:val="28"/>
                <w:szCs w:val="28"/>
                <w:highlight w:val="none"/>
                <w:shd w:val="clear" w:color="auto" w:fill="auto"/>
                <w:lang w:eastAsia="zh-CN"/>
              </w:rPr>
              <w:t>，</w:t>
            </w:r>
            <w:r>
              <w:rPr>
                <w:rFonts w:hint="eastAsia"/>
                <w:b w:val="0"/>
                <w:bCs w:val="0"/>
                <w:color w:val="auto"/>
                <w:sz w:val="28"/>
                <w:szCs w:val="28"/>
                <w:highlight w:val="none"/>
                <w:shd w:val="clear" w:color="auto" w:fill="auto"/>
              </w:rPr>
              <w:t>为企业普法提供定制化选择，让司法服务更加精准、更有实效、更具温度，护航企业发展行稳致远。</w:t>
            </w:r>
          </w:p>
          <w:p w14:paraId="3326A37C">
            <w:pPr>
              <w:pStyle w:val="13"/>
              <w:pageBreakBefore w:val="0"/>
              <w:kinsoku/>
              <w:wordWrap/>
              <w:autoSpaceDE/>
              <w:autoSpaceDN/>
              <w:bidi w:val="0"/>
              <w:spacing w:line="240" w:lineRule="auto"/>
              <w:ind w:firstLine="640"/>
              <w:rPr>
                <w:rFonts w:hint="eastAsia"/>
                <w:b w:val="0"/>
                <w:bCs w:val="0"/>
                <w:color w:val="auto"/>
                <w:sz w:val="28"/>
                <w:szCs w:val="28"/>
                <w:highlight w:val="none"/>
                <w:shd w:val="clear" w:color="auto" w:fill="auto"/>
              </w:rPr>
            </w:pPr>
            <w:r>
              <w:rPr>
                <w:rFonts w:hint="eastAsia"/>
                <w:b/>
                <w:bCs/>
                <w:color w:val="auto"/>
                <w:sz w:val="28"/>
                <w:szCs w:val="28"/>
                <w:highlight w:val="none"/>
                <w:shd w:val="clear" w:color="auto" w:fill="auto"/>
              </w:rPr>
              <w:t>制发司法服务企业需求清单</w:t>
            </w:r>
            <w:r>
              <w:rPr>
                <w:rFonts w:hint="eastAsia"/>
                <w:b/>
                <w:bCs/>
                <w:color w:val="auto"/>
                <w:sz w:val="28"/>
                <w:szCs w:val="28"/>
                <w:highlight w:val="none"/>
                <w:shd w:val="clear" w:color="auto" w:fill="auto"/>
                <w:lang w:eastAsia="zh-CN"/>
              </w:rPr>
              <w:t>。</w:t>
            </w:r>
            <w:r>
              <w:rPr>
                <w:rFonts w:hint="eastAsia"/>
                <w:b w:val="0"/>
                <w:bCs w:val="0"/>
                <w:color w:val="auto"/>
                <w:sz w:val="28"/>
                <w:szCs w:val="28"/>
                <w:highlight w:val="none"/>
                <w:shd w:val="clear" w:color="auto" w:fill="auto"/>
                <w:lang w:val="en-US" w:eastAsia="zh-CN"/>
              </w:rPr>
              <w:t>依托全区网格化管理体系，每个网格配备“1名调解员+1名法律顾问+N名网格员”专业调解团队，下沉至社区、商圈、企业，对热线转办的矛盾纠纷进行实地走访、现场调解</w:t>
            </w:r>
            <w:r>
              <w:rPr>
                <w:rFonts w:hint="eastAsia"/>
                <w:b w:val="0"/>
                <w:bCs w:val="0"/>
                <w:color w:val="auto"/>
                <w:sz w:val="28"/>
                <w:szCs w:val="28"/>
                <w:highlight w:val="none"/>
                <w:shd w:val="clear" w:color="auto" w:fill="auto"/>
              </w:rPr>
              <w:t>。</w:t>
            </w:r>
            <w:r>
              <w:rPr>
                <w:rFonts w:hint="eastAsia"/>
                <w:b w:val="0"/>
                <w:bCs w:val="0"/>
                <w:color w:val="auto"/>
                <w:sz w:val="28"/>
                <w:szCs w:val="28"/>
                <w:highlight w:val="none"/>
                <w:shd w:val="clear" w:color="auto" w:fill="auto"/>
                <w:lang w:val="en-US" w:eastAsia="zh-CN"/>
              </w:rPr>
              <w:t>为广泛收集企业需求，充分利用政务服务网等线上渠道及园区管委会等线下渠道，同步公布</w:t>
            </w:r>
            <w:r>
              <w:rPr>
                <w:rFonts w:hint="eastAsia"/>
                <w:b w:val="0"/>
                <w:bCs w:val="0"/>
                <w:color w:val="auto"/>
                <w:sz w:val="28"/>
                <w:szCs w:val="28"/>
                <w:highlight w:val="none"/>
                <w:shd w:val="clear" w:color="auto" w:fill="auto"/>
              </w:rPr>
              <w:t>“司法服务企业需求清单”，</w:t>
            </w:r>
            <w:r>
              <w:rPr>
                <w:rFonts w:hint="eastAsia"/>
                <w:b w:val="0"/>
                <w:bCs w:val="0"/>
                <w:color w:val="auto"/>
                <w:sz w:val="28"/>
                <w:szCs w:val="28"/>
                <w:highlight w:val="none"/>
                <w:shd w:val="clear" w:color="auto" w:fill="auto"/>
                <w:lang w:val="en-US" w:eastAsia="zh-CN"/>
              </w:rPr>
              <w:t>支持企业即时填写。</w:t>
            </w:r>
            <w:r>
              <w:rPr>
                <w:rFonts w:hint="eastAsia"/>
                <w:b w:val="0"/>
                <w:bCs w:val="0"/>
                <w:color w:val="auto"/>
                <w:sz w:val="28"/>
                <w:szCs w:val="28"/>
                <w:highlight w:val="none"/>
                <w:shd w:val="clear" w:color="auto" w:fill="auto"/>
              </w:rPr>
              <w:t>营商环境工作专班人员对接企业需求</w:t>
            </w:r>
            <w:r>
              <w:rPr>
                <w:rFonts w:hint="eastAsia"/>
                <w:b w:val="0"/>
                <w:bCs w:val="0"/>
                <w:color w:val="auto"/>
                <w:sz w:val="28"/>
                <w:szCs w:val="28"/>
                <w:highlight w:val="none"/>
                <w:shd w:val="clear" w:color="auto" w:fill="auto"/>
                <w:lang w:eastAsia="zh-CN"/>
              </w:rPr>
              <w:t>，</w:t>
            </w:r>
            <w:r>
              <w:rPr>
                <w:rFonts w:hint="eastAsia"/>
                <w:b w:val="0"/>
                <w:bCs w:val="0"/>
                <w:color w:val="auto"/>
                <w:sz w:val="28"/>
                <w:szCs w:val="28"/>
                <w:highlight w:val="none"/>
                <w:shd w:val="clear" w:color="auto" w:fill="auto"/>
                <w:lang w:val="en-US" w:eastAsia="zh-CN"/>
              </w:rPr>
              <w:t>一对一</w:t>
            </w:r>
            <w:r>
              <w:rPr>
                <w:rFonts w:hint="eastAsia"/>
                <w:b w:val="0"/>
                <w:bCs w:val="0"/>
                <w:color w:val="auto"/>
                <w:sz w:val="28"/>
                <w:szCs w:val="28"/>
                <w:highlight w:val="none"/>
                <w:shd w:val="clear" w:color="auto" w:fill="auto"/>
              </w:rPr>
              <w:t>解决问题。</w:t>
            </w:r>
          </w:p>
          <w:p w14:paraId="05C68407">
            <w:pPr>
              <w:pStyle w:val="13"/>
              <w:pageBreakBefore w:val="0"/>
              <w:kinsoku/>
              <w:wordWrap/>
              <w:autoSpaceDE/>
              <w:autoSpaceDN/>
              <w:bidi w:val="0"/>
              <w:spacing w:line="240" w:lineRule="auto"/>
              <w:ind w:firstLine="640"/>
              <w:rPr>
                <w:rFonts w:hint="default"/>
                <w:highlight w:val="none"/>
                <w:shd w:val="clear" w:color="auto" w:fill="auto"/>
                <w:lang w:val="en-US" w:eastAsia="zh-CN"/>
              </w:rPr>
            </w:pPr>
            <w:r>
              <w:rPr>
                <w:rFonts w:hint="eastAsia"/>
                <w:b/>
                <w:bCs/>
                <w:color w:val="auto"/>
                <w:sz w:val="28"/>
                <w:szCs w:val="28"/>
                <w:highlight w:val="none"/>
                <w:shd w:val="clear" w:color="auto" w:fill="auto"/>
              </w:rPr>
              <w:t>推出菜单式系列普法内容。</w:t>
            </w:r>
            <w:r>
              <w:rPr>
                <w:rFonts w:hint="eastAsia"/>
                <w:b w:val="0"/>
                <w:bCs w:val="0"/>
                <w:color w:val="auto"/>
                <w:sz w:val="28"/>
                <w:szCs w:val="28"/>
                <w:highlight w:val="none"/>
                <w:shd w:val="clear" w:color="auto" w:fill="auto"/>
              </w:rPr>
              <w:t>结合商事领域法律法规，围绕公司治理、市场交易等典型商事纠纷与经营风险，提供定制化普法课程；紧盯中小微企业经营发展突出法律诉求，依托微信公众号‘法护营商’专栏，持续推送典型案例、法律风险提示，梳理企业运营全链条法律要点，常态化开展法律风险预警，持续优化法治化营商环境。</w:t>
            </w:r>
          </w:p>
        </w:tc>
      </w:tr>
    </w:tbl>
    <w:p w14:paraId="0CC5D21C">
      <w:pPr>
        <w:pStyle w:val="2"/>
        <w:bidi w:val="0"/>
        <w:spacing w:line="540" w:lineRule="exact"/>
        <w:rPr>
          <w:rFonts w:hint="eastAsia"/>
          <w:lang w:eastAsia="zh-CN"/>
        </w:rPr>
      </w:pPr>
      <w:bookmarkStart w:id="124" w:name="_Toc18262"/>
      <w:bookmarkStart w:id="125" w:name="_Toc31030"/>
      <w:bookmarkStart w:id="126" w:name="_Toc13825"/>
      <w:bookmarkStart w:id="127" w:name="_Toc30347"/>
      <w:bookmarkStart w:id="128" w:name="_Toc13105"/>
      <w:bookmarkStart w:id="129" w:name="_Toc4719"/>
      <w:bookmarkStart w:id="130" w:name="_Toc25426"/>
      <w:bookmarkStart w:id="131" w:name="_Toc19297"/>
      <w:bookmarkStart w:id="132" w:name="_Toc13734"/>
      <w:bookmarkStart w:id="133" w:name="_Toc18647"/>
      <w:bookmarkStart w:id="134" w:name="_Toc12411"/>
      <w:bookmarkStart w:id="135" w:name="_Toc14276"/>
      <w:r>
        <w:rPr>
          <w:rFonts w:hint="eastAsia"/>
          <w:lang w:val="en-US" w:eastAsia="zh-CN"/>
        </w:rPr>
        <w:t>四、</w:t>
      </w:r>
      <w:r>
        <w:rPr>
          <w:rFonts w:hint="eastAsia"/>
          <w:lang w:eastAsia="zh-CN"/>
        </w:rPr>
        <w:t>打造便捷高效的政务环境</w:t>
      </w:r>
      <w:bookmarkEnd w:id="124"/>
      <w:bookmarkEnd w:id="125"/>
      <w:bookmarkEnd w:id="126"/>
      <w:bookmarkEnd w:id="127"/>
      <w:bookmarkEnd w:id="128"/>
      <w:bookmarkEnd w:id="129"/>
      <w:bookmarkEnd w:id="130"/>
      <w:bookmarkEnd w:id="131"/>
      <w:bookmarkEnd w:id="132"/>
      <w:bookmarkEnd w:id="133"/>
      <w:bookmarkEnd w:id="134"/>
      <w:bookmarkEnd w:id="135"/>
    </w:p>
    <w:p w14:paraId="1D009F48">
      <w:pPr>
        <w:pStyle w:val="3"/>
        <w:bidi w:val="0"/>
        <w:spacing w:line="540" w:lineRule="exact"/>
        <w:rPr>
          <w:rFonts w:hint="default"/>
          <w:lang w:val="en-US" w:eastAsia="zh-CN"/>
        </w:rPr>
      </w:pPr>
      <w:bookmarkStart w:id="136" w:name="_Toc13453"/>
      <w:bookmarkStart w:id="137" w:name="_Toc411"/>
      <w:bookmarkStart w:id="138" w:name="_Toc26504"/>
      <w:r>
        <w:rPr>
          <w:rFonts w:hint="eastAsia"/>
          <w:lang w:val="en-US" w:eastAsia="zh-CN"/>
        </w:rPr>
        <w:t>（一）持续提升政务服务能力</w:t>
      </w:r>
      <w:bookmarkEnd w:id="136"/>
      <w:bookmarkEnd w:id="137"/>
      <w:bookmarkEnd w:id="138"/>
    </w:p>
    <w:p w14:paraId="5C84F801">
      <w:pPr>
        <w:pageBreakBefore w:val="0"/>
        <w:kinsoku/>
        <w:wordWrap/>
        <w:autoSpaceDE/>
        <w:autoSpaceDN/>
        <w:bidi w:val="0"/>
        <w:spacing w:line="540" w:lineRule="exact"/>
        <w:rPr>
          <w:rFonts w:hint="default"/>
          <w:szCs w:val="32"/>
          <w:highlight w:val="none"/>
          <w:shd w:val="clear" w:color="auto" w:fill="auto"/>
          <w:lang w:val="en-US" w:eastAsia="zh-CN"/>
        </w:rPr>
      </w:pPr>
      <w:r>
        <w:rPr>
          <w:rFonts w:hint="default"/>
          <w:b/>
          <w:bCs/>
          <w:szCs w:val="32"/>
          <w:highlight w:val="none"/>
          <w:shd w:val="clear" w:color="auto" w:fill="auto"/>
          <w:lang w:val="en-US" w:eastAsia="zh-CN"/>
        </w:rPr>
        <w:t>增加政策供给服务</w:t>
      </w:r>
      <w:r>
        <w:rPr>
          <w:rFonts w:hint="eastAsia"/>
          <w:b/>
          <w:bCs/>
          <w:szCs w:val="32"/>
          <w:highlight w:val="none"/>
          <w:shd w:val="clear" w:color="auto" w:fill="auto"/>
          <w:lang w:val="en-US" w:eastAsia="zh-CN"/>
        </w:rPr>
        <w:t>。</w:t>
      </w:r>
      <w:r>
        <w:rPr>
          <w:rFonts w:hint="eastAsia"/>
          <w:szCs w:val="32"/>
          <w:highlight w:val="none"/>
          <w:shd w:val="clear" w:color="auto" w:fill="auto"/>
          <w:lang w:val="en-US" w:eastAsia="zh-CN"/>
        </w:rPr>
        <w:t>通过开展微访谈、组织宣讲活动、打造新媒体矩阵等</w:t>
      </w:r>
      <w:r>
        <w:rPr>
          <w:rFonts w:hint="default"/>
          <w:szCs w:val="32"/>
          <w:highlight w:val="none"/>
          <w:shd w:val="clear" w:color="auto" w:fill="auto"/>
          <w:lang w:val="en-US" w:eastAsia="zh-CN"/>
        </w:rPr>
        <w:t>方式</w:t>
      </w:r>
      <w:r>
        <w:rPr>
          <w:rFonts w:hint="eastAsia"/>
          <w:szCs w:val="32"/>
          <w:highlight w:val="none"/>
          <w:shd w:val="clear" w:color="auto" w:fill="auto"/>
          <w:lang w:val="en-US" w:eastAsia="zh-CN"/>
        </w:rPr>
        <w:t>优化</w:t>
      </w:r>
      <w:r>
        <w:rPr>
          <w:rFonts w:hint="default"/>
          <w:szCs w:val="32"/>
          <w:highlight w:val="none"/>
          <w:shd w:val="clear" w:color="auto" w:fill="auto"/>
          <w:lang w:val="en-US" w:eastAsia="zh-CN"/>
        </w:rPr>
        <w:t>政策解读，</w:t>
      </w:r>
      <w:r>
        <w:rPr>
          <w:rFonts w:hint="eastAsia"/>
          <w:szCs w:val="32"/>
          <w:highlight w:val="none"/>
          <w:shd w:val="clear" w:color="auto" w:fill="auto"/>
          <w:lang w:val="en-US" w:eastAsia="zh-CN"/>
        </w:rPr>
        <w:t>构建全链条立体化传播新格局</w:t>
      </w:r>
      <w:r>
        <w:rPr>
          <w:rFonts w:hint="eastAsia"/>
          <w:szCs w:val="32"/>
          <w:highlight w:val="none"/>
          <w:shd w:val="clear" w:color="auto" w:fill="auto"/>
          <w:vertAlign w:val="superscript"/>
          <w:lang w:val="en-US" w:eastAsia="zh-CN"/>
        </w:rPr>
        <w:footnoteReference w:id="15"/>
      </w:r>
      <w:r>
        <w:rPr>
          <w:rFonts w:hint="default"/>
          <w:szCs w:val="32"/>
          <w:highlight w:val="none"/>
          <w:shd w:val="clear" w:color="auto" w:fill="auto"/>
          <w:lang w:val="en-US" w:eastAsia="zh-CN"/>
        </w:rPr>
        <w:t>。</w:t>
      </w:r>
      <w:r>
        <w:rPr>
          <w:rFonts w:hint="eastAsia"/>
          <w:szCs w:val="32"/>
          <w:highlight w:val="none"/>
          <w:shd w:val="clear" w:color="auto" w:fill="auto"/>
          <w:lang w:val="en-US" w:eastAsia="zh-CN"/>
        </w:rPr>
        <w:t>持续完善“政策智能客服”功能，构建解析企业咨询意图的基础能力，精准解析用户深层需求，主动提供个性化解决方案</w:t>
      </w:r>
      <w:r>
        <w:rPr>
          <w:rStyle w:val="31"/>
          <w:rFonts w:hint="eastAsia" w:ascii="仿宋_GB2312" w:hAnsi="仿宋_GB2312" w:eastAsia="仿宋_GB2312" w:cs="仿宋_GB2312"/>
          <w:b w:val="0"/>
          <w:bCs w:val="0"/>
          <w:szCs w:val="32"/>
          <w:highlight w:val="none"/>
          <w:shd w:val="clear" w:color="auto" w:fill="auto"/>
          <w:lang w:val="en-US" w:eastAsia="zh-CN"/>
        </w:rPr>
        <w:footnoteReference w:id="16"/>
      </w:r>
      <w:r>
        <w:rPr>
          <w:rFonts w:hint="default"/>
          <w:szCs w:val="32"/>
          <w:highlight w:val="none"/>
          <w:shd w:val="clear" w:color="auto" w:fill="auto"/>
          <w:lang w:val="en-US" w:eastAsia="zh-CN"/>
        </w:rPr>
        <w:t>。</w:t>
      </w:r>
    </w:p>
    <w:p w14:paraId="5380838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b w:val="0"/>
          <w:bCs w:val="0"/>
          <w:szCs w:val="32"/>
          <w:highlight w:val="none"/>
          <w:shd w:val="clear" w:color="auto" w:fill="auto"/>
          <w:lang w:val="en-US" w:eastAsia="zh-CN"/>
        </w:rPr>
      </w:pPr>
      <w:r>
        <w:rPr>
          <w:rFonts w:hint="eastAsia" w:ascii="Times New Roman" w:hAnsi="Times New Roman" w:cs="Times New Roman"/>
          <w:b/>
          <w:bCs/>
          <w:sz w:val="32"/>
          <w:szCs w:val="32"/>
          <w:highlight w:val="none"/>
          <w:shd w:val="clear" w:color="auto" w:fill="auto"/>
          <w:lang w:val="en-US" w:eastAsia="zh-CN"/>
        </w:rPr>
        <w:t>持续深化政务领域改革。</w:t>
      </w:r>
      <w:r>
        <w:rPr>
          <w:rFonts w:hint="eastAsia" w:ascii="Times New Roman" w:hAnsi="Times New Roman" w:cs="Times New Roman"/>
          <w:b w:val="0"/>
          <w:bCs w:val="0"/>
          <w:sz w:val="32"/>
          <w:szCs w:val="32"/>
          <w:highlight w:val="none"/>
          <w:shd w:val="clear" w:color="auto" w:fill="auto"/>
          <w:lang w:val="en-US" w:eastAsia="zh-CN"/>
        </w:rPr>
        <w:t>针对高频事项推出“高效办成一件事”扩容清单，实现“一网通办”。扩大特色产业、新兴产业“一件事”改革覆盖范围，为企创业发展提供个性化、精准化服务</w:t>
      </w:r>
      <w:r>
        <w:rPr>
          <w:rStyle w:val="31"/>
          <w:rFonts w:hint="default"/>
          <w:szCs w:val="32"/>
          <w:highlight w:val="none"/>
          <w:shd w:val="clear" w:color="auto" w:fill="auto"/>
          <w:lang w:val="en-US" w:eastAsia="zh-CN"/>
        </w:rPr>
        <w:footnoteReference w:id="17"/>
      </w:r>
      <w:r>
        <w:rPr>
          <w:rFonts w:hint="default"/>
          <w:szCs w:val="32"/>
          <w:highlight w:val="none"/>
          <w:shd w:val="clear" w:color="auto" w:fill="auto"/>
          <w:lang w:val="en-US" w:eastAsia="zh-CN"/>
        </w:rPr>
        <w:t>。</w:t>
      </w:r>
      <w:r>
        <w:rPr>
          <w:rFonts w:hint="eastAsia"/>
          <w:b w:val="0"/>
          <w:bCs w:val="0"/>
          <w:szCs w:val="32"/>
          <w:highlight w:val="none"/>
          <w:shd w:val="clear" w:color="auto" w:fill="auto"/>
          <w:lang w:val="en-US" w:eastAsia="zh-CN"/>
        </w:rPr>
        <w:t>完善企业“服务包”“服务管家”和“12345企业服务热线”等机制，构建全方位企业服务体系。</w:t>
      </w:r>
    </w:p>
    <w:p w14:paraId="7BEDC945">
      <w:pPr>
        <w:pageBreakBefore w:val="0"/>
        <w:kinsoku/>
        <w:wordWrap/>
        <w:autoSpaceDE/>
        <w:autoSpaceDN/>
        <w:bidi w:val="0"/>
        <w:spacing w:line="540" w:lineRule="exact"/>
        <w:ind w:firstLine="640"/>
        <w:rPr>
          <w:rFonts w:hint="default" w:ascii="Times New Roman" w:hAnsi="Times New Roman" w:eastAsia="仿宋_GB2312" w:cs="Times New Roman"/>
          <w:b/>
          <w:bCs/>
          <w:sz w:val="32"/>
          <w:szCs w:val="32"/>
          <w:highlight w:val="none"/>
          <w:shd w:val="clear" w:color="auto" w:fill="auto"/>
          <w:lang w:val="en-US" w:eastAsia="zh-CN"/>
        </w:rPr>
      </w:pPr>
      <w:r>
        <w:rPr>
          <w:rFonts w:hint="eastAsia"/>
          <w:b/>
          <w:bCs/>
          <w:szCs w:val="32"/>
          <w:highlight w:val="none"/>
          <w:shd w:val="clear" w:color="auto" w:fill="auto"/>
          <w:lang w:val="en-US" w:eastAsia="zh-CN"/>
        </w:rPr>
        <w:t>全力提升政务服务便利化。</w:t>
      </w:r>
      <w:r>
        <w:rPr>
          <w:rFonts w:hint="eastAsia"/>
          <w:b w:val="0"/>
          <w:bCs w:val="0"/>
          <w:szCs w:val="32"/>
          <w:highlight w:val="none"/>
          <w:shd w:val="clear" w:color="auto" w:fill="auto"/>
          <w:lang w:val="en-US" w:eastAsia="zh-CN"/>
        </w:rPr>
        <w:t>完善市政公用服务机制，优化数据共享、联合踏勘、并联审批等集成办理业务的服务举措，压缩审批时间</w:t>
      </w:r>
      <w:r>
        <w:rPr>
          <w:rStyle w:val="31"/>
          <w:rFonts w:hint="eastAsia"/>
          <w:b w:val="0"/>
          <w:bCs w:val="0"/>
          <w:szCs w:val="32"/>
          <w:highlight w:val="none"/>
          <w:shd w:val="clear" w:color="auto" w:fill="auto"/>
          <w:lang w:val="en-US" w:eastAsia="zh-CN"/>
        </w:rPr>
        <w:footnoteReference w:id="18"/>
      </w:r>
      <w:r>
        <w:rPr>
          <w:rFonts w:hint="eastAsia"/>
          <w:b w:val="0"/>
          <w:bCs w:val="0"/>
          <w:szCs w:val="32"/>
          <w:highlight w:val="none"/>
          <w:shd w:val="clear" w:color="auto" w:fill="auto"/>
          <w:lang w:val="en-US" w:eastAsia="zh-CN"/>
        </w:rPr>
        <w:t>。推行重点项目“规划管家”服务，实行专人专班对接，按需定制办事流程与材料清单，精准助力企业高效办结事项。深化工程建设领域审批改革，推进联合验收、“多测合一”“多规合一”，优化一般风险项目审批流程，持续提升企业服务获得感。聚焦办税缴费需求，升级税费服务效能，拓展更多事项“全程网办”</w:t>
      </w:r>
      <w:r>
        <w:rPr>
          <w:rStyle w:val="31"/>
          <w:rFonts w:hint="eastAsia"/>
          <w:b w:val="0"/>
          <w:bCs w:val="0"/>
          <w:szCs w:val="32"/>
          <w:highlight w:val="none"/>
          <w:shd w:val="clear" w:color="auto" w:fill="auto"/>
          <w:lang w:val="en-US" w:eastAsia="zh-CN"/>
        </w:rPr>
        <w:footnoteReference w:id="19"/>
      </w:r>
      <w:r>
        <w:rPr>
          <w:rFonts w:hint="eastAsia"/>
          <w:b w:val="0"/>
          <w:bCs w:val="0"/>
          <w:szCs w:val="32"/>
          <w:highlight w:val="none"/>
          <w:shd w:val="clear" w:color="auto" w:fill="auto"/>
          <w:lang w:val="en-US" w:eastAsia="zh-CN"/>
        </w:rPr>
        <w:t>。优化房屋交易效率、不动产查解封网上办理等便民利企举措，压缩办理环节与时限</w:t>
      </w:r>
      <w:r>
        <w:rPr>
          <w:rStyle w:val="31"/>
          <w:rFonts w:hint="eastAsia"/>
          <w:b w:val="0"/>
          <w:bCs w:val="0"/>
          <w:szCs w:val="32"/>
          <w:highlight w:val="none"/>
          <w:shd w:val="clear" w:color="auto" w:fill="auto"/>
          <w:lang w:val="en-US" w:eastAsia="zh-CN"/>
        </w:rPr>
        <w:footnoteReference w:id="20"/>
      </w:r>
      <w:r>
        <w:rPr>
          <w:rFonts w:hint="eastAsia"/>
          <w:b w:val="0"/>
          <w:bCs w:val="0"/>
          <w:szCs w:val="32"/>
          <w:highlight w:val="none"/>
          <w:shd w:val="clear" w:color="auto" w:fill="auto"/>
          <w:lang w:val="en-US" w:eastAsia="zh-CN"/>
        </w:rPr>
        <w:t>。</w:t>
      </w:r>
    </w:p>
    <w:p w14:paraId="4F62C1CC">
      <w:pPr>
        <w:pStyle w:val="3"/>
        <w:bidi w:val="0"/>
        <w:spacing w:line="540" w:lineRule="exact"/>
        <w:rPr>
          <w:rFonts w:hint="eastAsia"/>
          <w:lang w:val="en-US" w:eastAsia="zh-CN"/>
        </w:rPr>
      </w:pPr>
      <w:bookmarkStart w:id="139" w:name="_Toc19505"/>
      <w:bookmarkStart w:id="140" w:name="_Toc19427"/>
      <w:bookmarkStart w:id="141" w:name="_Toc1315"/>
      <w:r>
        <w:rPr>
          <w:rFonts w:hint="eastAsia"/>
          <w:lang w:val="en-US" w:eastAsia="zh-CN"/>
        </w:rPr>
        <w:t>（二）推动数据赋能政务服务</w:t>
      </w:r>
      <w:bookmarkEnd w:id="139"/>
      <w:bookmarkEnd w:id="140"/>
      <w:bookmarkEnd w:id="141"/>
    </w:p>
    <w:p w14:paraId="616035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shd w:val="clear" w:color="auto" w:fill="auto"/>
          <w:lang w:val="en-US" w:eastAsia="zh-CN"/>
        </w:rPr>
      </w:pPr>
      <w:r>
        <w:rPr>
          <w:rFonts w:hint="eastAsia"/>
          <w:b/>
          <w:bCs/>
          <w:szCs w:val="32"/>
          <w:highlight w:val="none"/>
          <w:shd w:val="clear" w:color="auto" w:fill="auto"/>
          <w:lang w:val="en-US" w:eastAsia="zh-CN"/>
        </w:rPr>
        <w:t>提升全程网办事项覆盖率。</w:t>
      </w:r>
      <w:r>
        <w:rPr>
          <w:rFonts w:hint="eastAsia"/>
          <w:b w:val="0"/>
          <w:bCs w:val="0"/>
          <w:szCs w:val="32"/>
          <w:highlight w:val="none"/>
          <w:shd w:val="clear" w:color="auto" w:fill="auto"/>
          <w:lang w:val="en-US" w:eastAsia="zh-CN"/>
        </w:rPr>
        <w:t>深化“一网通办”改革，梳理查找系统稳定性、流畅性等问题，促进各类系统平台数据联通、功能优化</w:t>
      </w:r>
      <w:r>
        <w:rPr>
          <w:rStyle w:val="31"/>
          <w:rFonts w:hint="eastAsia"/>
          <w:b w:val="0"/>
          <w:bCs w:val="0"/>
          <w:szCs w:val="32"/>
          <w:highlight w:val="none"/>
          <w:shd w:val="clear" w:color="auto" w:fill="auto"/>
          <w:lang w:val="en-US" w:eastAsia="zh-CN"/>
        </w:rPr>
        <w:footnoteReference w:id="21"/>
      </w:r>
      <w:r>
        <w:rPr>
          <w:rFonts w:hint="eastAsia"/>
          <w:b w:val="0"/>
          <w:bCs w:val="0"/>
          <w:szCs w:val="32"/>
          <w:highlight w:val="none"/>
          <w:shd w:val="clear" w:color="auto" w:fill="auto"/>
          <w:lang w:val="en-US" w:eastAsia="zh-CN"/>
        </w:rPr>
        <w:t>。</w:t>
      </w:r>
      <w:r>
        <w:rPr>
          <w:rFonts w:hint="eastAsia"/>
          <w:szCs w:val="32"/>
          <w:highlight w:val="none"/>
          <w:shd w:val="clear" w:color="auto" w:fill="auto"/>
          <w:lang w:val="en-US" w:eastAsia="zh-CN"/>
        </w:rPr>
        <w:t>优化电子印章申请及授权流程，大力拓展电子印章、电子证照在行政审批、公共服务等场景的应用范围</w:t>
      </w:r>
      <w:r>
        <w:rPr>
          <w:rStyle w:val="31"/>
          <w:rFonts w:hint="eastAsia"/>
          <w:szCs w:val="32"/>
          <w:highlight w:val="none"/>
          <w:shd w:val="clear" w:color="auto" w:fill="auto"/>
          <w:lang w:val="en-US" w:eastAsia="zh-CN"/>
        </w:rPr>
        <w:footnoteReference w:id="22"/>
      </w:r>
      <w:r>
        <w:rPr>
          <w:rFonts w:hint="eastAsia"/>
          <w:szCs w:val="32"/>
          <w:highlight w:val="none"/>
          <w:shd w:val="clear" w:color="auto" w:fill="auto"/>
          <w:lang w:val="en-US" w:eastAsia="zh-CN"/>
        </w:rPr>
        <w:t>。</w:t>
      </w:r>
    </w:p>
    <w:p w14:paraId="5B8242A2">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szCs w:val="32"/>
          <w:highlight w:val="none"/>
          <w:shd w:val="clear" w:color="auto" w:fill="auto"/>
          <w:lang w:val="en-US" w:eastAsia="zh-CN"/>
        </w:rPr>
      </w:pPr>
      <w:r>
        <w:rPr>
          <w:rFonts w:hint="eastAsia"/>
          <w:b/>
          <w:bCs/>
          <w:szCs w:val="32"/>
          <w:highlight w:val="none"/>
          <w:shd w:val="clear" w:color="auto" w:fill="auto"/>
          <w:lang w:val="en-US" w:eastAsia="zh-CN"/>
        </w:rPr>
        <w:t>强化数智政务水平。</w:t>
      </w:r>
      <w:r>
        <w:rPr>
          <w:rFonts w:hint="eastAsia" w:ascii="仿宋_GB2312" w:hAnsi="仿宋_GB2312" w:cs="仿宋_GB2312"/>
          <w:b w:val="0"/>
          <w:bCs w:val="0"/>
          <w:sz w:val="32"/>
          <w:szCs w:val="32"/>
          <w:highlight w:val="none"/>
          <w:shd w:val="clear" w:color="auto" w:fill="auto"/>
          <w:lang w:val="en-US" w:eastAsia="zh-CN"/>
        </w:rPr>
        <w:t>引入</w:t>
      </w:r>
      <w:r>
        <w:rPr>
          <w:rFonts w:hint="eastAsia"/>
          <w:b w:val="0"/>
          <w:bCs w:val="0"/>
          <w:szCs w:val="32"/>
          <w:highlight w:val="none"/>
          <w:shd w:val="clear" w:color="auto" w:fill="auto"/>
          <w:lang w:val="en-US" w:eastAsia="zh-CN"/>
        </w:rPr>
        <w:t>智能预填、智能预审等智慧化服务，探索“</w:t>
      </w:r>
      <w:r>
        <w:rPr>
          <w:rFonts w:hint="eastAsia" w:ascii="仿宋_GB2312" w:hAnsi="仿宋_GB2312" w:eastAsia="仿宋_GB2312" w:cs="仿宋_GB2312"/>
          <w:sz w:val="32"/>
          <w:szCs w:val="32"/>
          <w:highlight w:val="none"/>
          <w:shd w:val="clear" w:color="auto" w:fill="auto"/>
          <w:lang w:val="en-US" w:eastAsia="zh-CN"/>
        </w:rPr>
        <w:t>AI</w:t>
      </w:r>
      <w:r>
        <w:rPr>
          <w:rFonts w:hint="eastAsia"/>
          <w:b w:val="0"/>
          <w:bCs w:val="0"/>
          <w:szCs w:val="32"/>
          <w:highlight w:val="none"/>
          <w:shd w:val="clear" w:color="auto" w:fill="auto"/>
          <w:lang w:val="en-US" w:eastAsia="zh-CN"/>
        </w:rPr>
        <w:t>数智员工”帮办服务体系，试点提供帮办服务</w:t>
      </w:r>
      <w:r>
        <w:rPr>
          <w:rStyle w:val="25"/>
          <w:rFonts w:hint="eastAsia"/>
          <w:b w:val="0"/>
          <w:bCs w:val="0"/>
          <w:szCs w:val="32"/>
          <w:highlight w:val="none"/>
          <w:shd w:val="clear" w:color="auto" w:fill="auto"/>
          <w:lang w:val="en-US" w:eastAsia="zh-CN"/>
        </w:rPr>
        <w:footnoteReference w:id="23"/>
      </w:r>
      <w:r>
        <w:rPr>
          <w:rFonts w:hint="eastAsia"/>
          <w:b w:val="0"/>
          <w:bCs w:val="0"/>
          <w:szCs w:val="32"/>
          <w:highlight w:val="none"/>
          <w:shd w:val="clear" w:color="auto" w:fill="auto"/>
          <w:lang w:val="en-US" w:eastAsia="zh-CN"/>
        </w:rPr>
        <w:t>。</w:t>
      </w:r>
      <w:r>
        <w:rPr>
          <w:rFonts w:hint="eastAsia"/>
          <w:szCs w:val="32"/>
          <w:highlight w:val="none"/>
          <w:shd w:val="clear" w:color="auto" w:fill="auto"/>
          <w:lang w:val="en-US" w:eastAsia="zh-CN"/>
        </w:rPr>
        <w:t>升级政务机器人“平平”系统组件，增强语意识别、自主学习功能稳定性，持续提升服务体验。</w:t>
      </w:r>
    </w:p>
    <w:p w14:paraId="0EE95545">
      <w:pPr>
        <w:pStyle w:val="3"/>
        <w:bidi w:val="0"/>
        <w:spacing w:line="540" w:lineRule="exact"/>
        <w:rPr>
          <w:rFonts w:hint="eastAsia"/>
          <w:lang w:val="en-US" w:eastAsia="zh-CN"/>
        </w:rPr>
      </w:pPr>
      <w:bookmarkStart w:id="142" w:name="_Toc7755"/>
      <w:bookmarkStart w:id="143" w:name="_Toc18222"/>
      <w:bookmarkStart w:id="144" w:name="_Toc29567"/>
      <w:r>
        <w:rPr>
          <w:rFonts w:hint="eastAsia"/>
          <w:lang w:val="en-US" w:eastAsia="zh-CN"/>
        </w:rPr>
        <w:t>（三）探索“个性化增值服务”</w:t>
      </w:r>
      <w:bookmarkEnd w:id="142"/>
      <w:bookmarkEnd w:id="143"/>
      <w:bookmarkEnd w:id="144"/>
    </w:p>
    <w:p w14:paraId="2F743A73">
      <w:pPr>
        <w:pageBreakBefore w:val="0"/>
        <w:kinsoku/>
        <w:wordWrap/>
        <w:autoSpaceDE/>
        <w:autoSpaceDN/>
        <w:bidi w:val="0"/>
        <w:spacing w:line="540" w:lineRule="exact"/>
        <w:rPr>
          <w:rFonts w:hint="default"/>
          <w:b w:val="0"/>
          <w:bCs w:val="0"/>
          <w:szCs w:val="32"/>
          <w:highlight w:val="none"/>
          <w:shd w:val="clear" w:color="auto" w:fill="auto"/>
          <w:lang w:val="en-US" w:eastAsia="zh-CN"/>
        </w:rPr>
      </w:pPr>
      <w:r>
        <w:rPr>
          <w:rFonts w:hint="eastAsia"/>
          <w:b/>
          <w:bCs/>
          <w:szCs w:val="32"/>
          <w:highlight w:val="none"/>
          <w:shd w:val="clear" w:color="auto" w:fill="auto"/>
          <w:lang w:val="en-US" w:eastAsia="zh-CN"/>
        </w:rPr>
        <w:t>不断织密个性化服务网络。</w:t>
      </w:r>
      <w:r>
        <w:rPr>
          <w:rFonts w:hint="eastAsia"/>
          <w:b w:val="0"/>
          <w:bCs w:val="0"/>
          <w:szCs w:val="32"/>
          <w:highlight w:val="none"/>
          <w:shd w:val="clear" w:color="auto" w:fill="auto"/>
          <w:lang w:val="en-US" w:eastAsia="zh-CN"/>
        </w:rPr>
        <w:t>完善</w:t>
      </w:r>
      <w:r>
        <w:rPr>
          <w:rFonts w:hint="eastAsia"/>
          <w:sz w:val="32"/>
          <w:szCs w:val="32"/>
          <w:highlight w:val="none"/>
          <w:shd w:val="clear" w:color="auto" w:fill="auto"/>
          <w:lang w:val="en-US" w:eastAsia="zh-CN"/>
        </w:rPr>
        <w:t>“区－镇（街）－社区（村）+特色驿站”</w:t>
      </w:r>
      <w:r>
        <w:rPr>
          <w:rFonts w:hint="eastAsia"/>
          <w:b w:val="0"/>
          <w:bCs w:val="0"/>
          <w:szCs w:val="32"/>
          <w:highlight w:val="none"/>
          <w:shd w:val="clear" w:color="auto" w:fill="auto"/>
          <w:lang w:val="en-US" w:eastAsia="zh-CN"/>
        </w:rPr>
        <w:t>三级政务服务体系，聚焦金融、商务、法务等领域提供特色增值服务。围绕政策解读、项目申报、技术支持到人才招聘等多个维度，为企业量身定制专属服务方案</w:t>
      </w:r>
      <w:r>
        <w:rPr>
          <w:rStyle w:val="31"/>
          <w:rFonts w:hint="eastAsia"/>
          <w:b w:val="0"/>
          <w:bCs w:val="0"/>
          <w:szCs w:val="32"/>
          <w:highlight w:val="none"/>
          <w:shd w:val="clear" w:color="auto" w:fill="auto"/>
          <w:lang w:val="en-US" w:eastAsia="zh-CN"/>
        </w:rPr>
        <w:footnoteReference w:id="24"/>
      </w:r>
      <w:r>
        <w:rPr>
          <w:rFonts w:hint="eastAsia"/>
          <w:b w:val="0"/>
          <w:bCs w:val="0"/>
          <w:szCs w:val="32"/>
          <w:highlight w:val="none"/>
          <w:shd w:val="clear" w:color="auto" w:fill="auto"/>
          <w:lang w:val="en-US" w:eastAsia="zh-CN"/>
        </w:rPr>
        <w:t>。</w:t>
      </w:r>
    </w:p>
    <w:p w14:paraId="08710F7B">
      <w:pPr>
        <w:spacing w:line="540" w:lineRule="exact"/>
        <w:ind w:firstLine="640"/>
        <w:rPr>
          <w:rFonts w:hint="eastAsia"/>
          <w:lang w:val="en-US" w:eastAsia="zh-CN"/>
        </w:rPr>
      </w:pPr>
      <w:r>
        <w:rPr>
          <w:rFonts w:hint="eastAsia"/>
          <w:b/>
          <w:bCs/>
          <w:szCs w:val="32"/>
          <w:highlight w:val="none"/>
          <w:shd w:val="clear" w:color="auto" w:fill="auto"/>
          <w:lang w:val="en-US" w:eastAsia="zh-CN"/>
        </w:rPr>
        <w:t>以智能化助推个性化服务。</w:t>
      </w:r>
      <w:r>
        <w:rPr>
          <w:rFonts w:hint="eastAsia"/>
          <w:b w:val="0"/>
          <w:bCs w:val="0"/>
          <w:szCs w:val="32"/>
          <w:highlight w:val="none"/>
          <w:shd w:val="clear" w:color="auto" w:fill="auto"/>
          <w:lang w:val="en-US" w:eastAsia="zh-CN"/>
        </w:rPr>
        <w:t>优化“昌慧达”人工智能政策计算器，探索增加政策配套指引、产业布局分析、企业选址服务等功能。依托“首都之窗”政务服务网，探索打造企业专属智能便捷服务空间，集成常用事项、政策信息、办事进度查询等核心功能</w:t>
      </w:r>
      <w:r>
        <w:rPr>
          <w:rStyle w:val="31"/>
          <w:rFonts w:hint="eastAsia"/>
          <w:szCs w:val="32"/>
          <w:highlight w:val="none"/>
          <w:shd w:val="clear" w:color="auto" w:fill="auto"/>
          <w:lang w:val="en-US" w:eastAsia="zh-CN"/>
        </w:rPr>
        <w:footnoteReference w:id="25"/>
      </w:r>
      <w:r>
        <w:rPr>
          <w:rFonts w:hint="eastAsia"/>
          <w:szCs w:val="32"/>
          <w:highlight w:val="none"/>
          <w:shd w:val="clear" w:color="auto" w:fill="auto"/>
          <w:lang w:val="en-US" w:eastAsia="zh-CN"/>
        </w:rPr>
        <w:t>。加快推进昌科驿站正式运行，逐步完善政务服务、政策服务、企业服务等功能。</w:t>
      </w:r>
      <w:r>
        <w:rPr>
          <w:rFonts w:hint="eastAsia"/>
          <w:b w:val="0"/>
          <w:bCs w:val="0"/>
          <w:color w:val="auto"/>
          <w:szCs w:val="32"/>
          <w:highlight w:val="none"/>
          <w:shd w:val="clear" w:color="auto" w:fill="auto"/>
          <w:lang w:val="en-US" w:eastAsia="zh-CN"/>
        </w:rPr>
        <w:t>提升“昌能驿站”“昌生驿站”服务水平，建立园区专属增值服务清单</w:t>
      </w:r>
      <w:r>
        <w:rPr>
          <w:rFonts w:hint="default"/>
          <w:b w:val="0"/>
          <w:bCs w:val="0"/>
          <w:color w:val="auto"/>
          <w:szCs w:val="32"/>
          <w:highlight w:val="none"/>
          <w:shd w:val="clear" w:color="auto" w:fill="auto"/>
          <w:lang w:val="en-US" w:eastAsia="zh-CN"/>
        </w:rPr>
        <w:t>。推广产业园区政务服务事项“免证办”和“一站式”服务</w:t>
      </w:r>
      <w:r>
        <w:rPr>
          <w:rStyle w:val="31"/>
          <w:rFonts w:hint="eastAsia"/>
          <w:b w:val="0"/>
          <w:bCs w:val="0"/>
          <w:color w:val="auto"/>
          <w:highlight w:val="none"/>
          <w:shd w:val="clear" w:color="auto" w:fill="auto"/>
          <w:lang w:val="en-US" w:eastAsia="zh-CN"/>
        </w:rPr>
        <w:footnoteReference w:id="26"/>
      </w:r>
      <w:r>
        <w:rPr>
          <w:rFonts w:hint="default"/>
          <w:b w:val="0"/>
          <w:bCs w:val="0"/>
          <w:color w:val="auto"/>
          <w:highlight w:val="none"/>
          <w:shd w:val="clear" w:color="auto" w:fill="auto"/>
          <w:lang w:val="en-US" w:eastAsia="zh-CN"/>
        </w:rPr>
        <w: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E69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9061" w:type="dxa"/>
            <w:vAlign w:val="center"/>
          </w:tcPr>
          <w:p w14:paraId="3FC3D63B">
            <w:pPr>
              <w:keepNext/>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黑体" w:hAnsi="黑体" w:eastAsia="黑体"/>
                <w:kern w:val="0"/>
                <w:sz w:val="28"/>
                <w:szCs w:val="28"/>
                <w:highlight w:val="none"/>
                <w:shd w:val="clear" w:color="auto" w:fill="auto"/>
                <w:lang w:val="en-US" w:eastAsia="zh-CN"/>
              </w:rPr>
            </w:pPr>
            <w:r>
              <w:rPr>
                <w:rFonts w:hint="eastAsia" w:ascii="黑体" w:hAnsi="黑体" w:eastAsia="黑体"/>
                <w:b w:val="0"/>
                <w:bCs w:val="0"/>
                <w:kern w:val="0"/>
                <w:sz w:val="28"/>
                <w:szCs w:val="28"/>
                <w:highlight w:val="none"/>
                <w:shd w:val="clear" w:color="auto" w:fill="auto"/>
              </w:rPr>
              <w:t>专栏</w:t>
            </w:r>
            <w:r>
              <w:rPr>
                <w:rFonts w:hint="eastAsia" w:ascii="黑体" w:hAnsi="黑体" w:eastAsia="黑体"/>
                <w:b w:val="0"/>
                <w:bCs w:val="0"/>
                <w:kern w:val="0"/>
                <w:sz w:val="28"/>
                <w:szCs w:val="28"/>
                <w:highlight w:val="none"/>
                <w:shd w:val="clear" w:color="auto" w:fill="auto"/>
                <w:lang w:val="en-US" w:eastAsia="zh-CN"/>
              </w:rPr>
              <w:t>重点任务</w:t>
            </w:r>
          </w:p>
        </w:tc>
      </w:tr>
      <w:tr w14:paraId="76C1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8" w:hRule="atLeast"/>
        </w:trPr>
        <w:tc>
          <w:tcPr>
            <w:tcW w:w="9061" w:type="dxa"/>
            <w:vAlign w:val="center"/>
          </w:tcPr>
          <w:p w14:paraId="42EE743C">
            <w:pPr>
              <w:pStyle w:val="13"/>
              <w:pageBreakBefore w:val="0"/>
              <w:kinsoku/>
              <w:wordWrap/>
              <w:autoSpaceDE/>
              <w:autoSpaceDN/>
              <w:bidi w:val="0"/>
              <w:spacing w:line="240" w:lineRule="auto"/>
              <w:ind w:firstLine="640"/>
              <w:rPr>
                <w:rFonts w:hint="default"/>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重点任务一：深化“高效办成一件事”改革</w:t>
            </w:r>
          </w:p>
          <w:p w14:paraId="04936863">
            <w:pPr>
              <w:pStyle w:val="13"/>
              <w:pageBreakBefore w:val="0"/>
              <w:kinsoku/>
              <w:wordWrap/>
              <w:autoSpaceDE/>
              <w:autoSpaceDN/>
              <w:bidi w:val="0"/>
              <w:spacing w:line="240" w:lineRule="auto"/>
              <w:ind w:firstLine="640"/>
              <w:rPr>
                <w:rFonts w:hint="eastAsia"/>
                <w:sz w:val="28"/>
                <w:szCs w:val="28"/>
                <w:highlight w:val="none"/>
                <w:shd w:val="clear" w:color="auto" w:fill="auto"/>
                <w:lang w:val="en-US" w:eastAsia="zh-CN"/>
              </w:rPr>
            </w:pPr>
            <w:r>
              <w:rPr>
                <w:rFonts w:hint="eastAsia"/>
                <w:b/>
                <w:bCs/>
                <w:sz w:val="28"/>
                <w:szCs w:val="28"/>
                <w:highlight w:val="none"/>
                <w:shd w:val="clear" w:color="auto" w:fill="auto"/>
                <w:lang w:val="en-US" w:eastAsia="zh-CN"/>
              </w:rPr>
              <w:t>完善高频“一件事”清单。</w:t>
            </w:r>
            <w:r>
              <w:rPr>
                <w:rFonts w:hint="eastAsia"/>
                <w:sz w:val="28"/>
                <w:szCs w:val="28"/>
                <w:highlight w:val="none"/>
                <w:shd w:val="clear" w:color="auto" w:fill="auto"/>
                <w:lang w:val="en-US" w:eastAsia="zh-CN"/>
              </w:rPr>
              <w:t>以需求为导向，围绕企业、个人全生命周期，梳理如企业开办、项目审批、个人生育养老等高频事项。打破部门壁垒，将关联事项整合，像新生儿出生“一件事”集成多部门业务。同时，依据政策变化、群众反馈，动态更新清单，确保其精准服务大众。</w:t>
            </w:r>
          </w:p>
          <w:p w14:paraId="15FC132F">
            <w:pPr>
              <w:pStyle w:val="13"/>
              <w:pageBreakBefore w:val="0"/>
              <w:kinsoku/>
              <w:wordWrap/>
              <w:autoSpaceDE/>
              <w:autoSpaceDN/>
              <w:bidi w:val="0"/>
              <w:spacing w:line="240" w:lineRule="auto"/>
              <w:ind w:firstLine="640"/>
              <w:rPr>
                <w:rFonts w:hint="eastAsia"/>
                <w:b w:val="0"/>
                <w:bCs w:val="0"/>
                <w:sz w:val="28"/>
                <w:szCs w:val="28"/>
                <w:highlight w:val="none"/>
                <w:shd w:val="clear" w:color="auto" w:fill="auto"/>
                <w:lang w:val="en-US" w:eastAsia="zh-CN"/>
              </w:rPr>
            </w:pPr>
            <w:r>
              <w:rPr>
                <w:rFonts w:hint="eastAsia"/>
                <w:b/>
                <w:bCs/>
                <w:sz w:val="28"/>
                <w:szCs w:val="28"/>
                <w:highlight w:val="none"/>
                <w:shd w:val="clear" w:color="auto" w:fill="auto"/>
                <w:lang w:val="en-US" w:eastAsia="zh-CN"/>
              </w:rPr>
              <w:t>提供申报服务。</w:t>
            </w:r>
            <w:r>
              <w:rPr>
                <w:rFonts w:hint="eastAsia"/>
                <w:b w:val="0"/>
                <w:bCs w:val="0"/>
                <w:sz w:val="28"/>
                <w:szCs w:val="28"/>
                <w:highlight w:val="none"/>
                <w:shd w:val="clear" w:color="auto" w:fill="auto"/>
                <w:lang w:val="en-US" w:eastAsia="zh-CN"/>
              </w:rPr>
              <w:t>围绕企业和个人全生命周期办事需求，推出个性申报服务机制。通过大数据分析、用户反馈收集等手段，梳理不同阶段的高频办事场景，为企业和个人量身定制申报路径，实现申报流程“私人定制”。</w:t>
            </w:r>
          </w:p>
          <w:p w14:paraId="7C9DC0BA">
            <w:pPr>
              <w:pStyle w:val="13"/>
              <w:pageBreakBefore w:val="0"/>
              <w:kinsoku/>
              <w:wordWrap/>
              <w:autoSpaceDE/>
              <w:autoSpaceDN/>
              <w:bidi w:val="0"/>
              <w:spacing w:line="240" w:lineRule="auto"/>
              <w:ind w:firstLine="640"/>
              <w:rPr>
                <w:rFonts w:hint="default"/>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重点任务二：完善园区服务机制</w:t>
            </w:r>
          </w:p>
          <w:p w14:paraId="722D7102">
            <w:pPr>
              <w:pStyle w:val="13"/>
              <w:pageBreakBefore w:val="0"/>
              <w:kinsoku/>
              <w:wordWrap/>
              <w:autoSpaceDE/>
              <w:autoSpaceDN/>
              <w:bidi w:val="0"/>
              <w:spacing w:line="240" w:lineRule="auto"/>
              <w:ind w:firstLine="560" w:firstLineChars="200"/>
              <w:rPr>
                <w:rFonts w:hint="eastAsia"/>
                <w:sz w:val="28"/>
                <w:szCs w:val="28"/>
                <w:highlight w:val="none"/>
                <w:shd w:val="clear" w:color="auto" w:fill="auto"/>
                <w:lang w:val="en-US" w:eastAsia="zh-CN"/>
              </w:rPr>
            </w:pPr>
            <w:r>
              <w:rPr>
                <w:rFonts w:hint="eastAsia"/>
                <w:b/>
                <w:bCs/>
                <w:sz w:val="28"/>
                <w:szCs w:val="28"/>
                <w:highlight w:val="none"/>
                <w:shd w:val="clear" w:color="auto" w:fill="auto"/>
                <w:lang w:val="en-US" w:eastAsia="zh-CN"/>
              </w:rPr>
              <w:t>提供贴身式政务服务。</w:t>
            </w:r>
            <w:r>
              <w:rPr>
                <w:rFonts w:hint="eastAsia"/>
                <w:sz w:val="28"/>
                <w:szCs w:val="28"/>
                <w:highlight w:val="none"/>
                <w:shd w:val="clear" w:color="auto" w:fill="auto"/>
                <w:lang w:val="en-US" w:eastAsia="zh-CN"/>
              </w:rPr>
              <w:t>不断扩容“昌能驿站”等园区政务场所服务“事项库”，持续提升服务“覆盖度”。在区内各个园区政务服务点，发挥园区政务专员桥梁纽带作用，为园区内企业提供政务咨询和帮办服务。从企业开办、投资促产到经营发展等关键环节提供各类企业服务，打造科创孵化、人才服务、金融服务、品牌宣传等增值服务场景，下沉落地便民服务、增值服务等服务事项，嵌入党群服务、公共治理、平安建设、城市生活等服务功能，赋能企业全生命周期发展。</w:t>
            </w:r>
          </w:p>
          <w:p w14:paraId="43B72B6C">
            <w:pPr>
              <w:pStyle w:val="13"/>
              <w:pageBreakBefore w:val="0"/>
              <w:kinsoku/>
              <w:wordWrap/>
              <w:autoSpaceDE/>
              <w:autoSpaceDN/>
              <w:bidi w:val="0"/>
              <w:spacing w:line="240" w:lineRule="auto"/>
              <w:ind w:firstLine="560" w:firstLineChars="200"/>
              <w:rPr>
                <w:rFonts w:hint="eastAsia"/>
                <w:sz w:val="28"/>
                <w:szCs w:val="28"/>
                <w:highlight w:val="none"/>
                <w:shd w:val="clear" w:color="auto" w:fill="auto"/>
                <w:lang w:val="en-US" w:eastAsia="zh-CN"/>
              </w:rPr>
            </w:pPr>
            <w:r>
              <w:rPr>
                <w:rFonts w:hint="eastAsia"/>
                <w:b/>
                <w:bCs/>
                <w:sz w:val="28"/>
                <w:szCs w:val="28"/>
                <w:highlight w:val="none"/>
                <w:shd w:val="clear" w:color="auto" w:fill="auto"/>
                <w:lang w:val="en-US" w:eastAsia="zh-CN"/>
              </w:rPr>
              <w:t>提供定制化服务。</w:t>
            </w:r>
            <w:r>
              <w:rPr>
                <w:rFonts w:hint="eastAsia"/>
                <w:sz w:val="28"/>
                <w:szCs w:val="28"/>
                <w:highlight w:val="none"/>
                <w:shd w:val="clear" w:color="auto" w:fill="auto"/>
                <w:lang w:val="en-US" w:eastAsia="zh-CN"/>
              </w:rPr>
              <w:t>依据医药健康、先进能源、先进制造、未来产业（合成生物、机器人、6G等）等不同产业特性，精准发力。针对医药健康产业，围绕研发、审批、生产等环节，提供专业技术支持与政策解读。面向先进能源产业，聚焦能源转化、存储难题，定制设备配套与人才对接服务。针对先进制造产业，着眼数字化智能改造、产业链供应链强链补链，提供专属解决方案。面向未来产业，围绕合成生物、智能机器人、6G 通信等前沿赛道，聚焦技术攻关、场景示范、成果产业化，开展知识产权服务、项目赋能及跨行业创新资源对接。</w:t>
            </w:r>
          </w:p>
          <w:p w14:paraId="74CF3862">
            <w:pPr>
              <w:pStyle w:val="13"/>
              <w:pageBreakBefore w:val="0"/>
              <w:kinsoku/>
              <w:wordWrap/>
              <w:autoSpaceDE/>
              <w:autoSpaceDN/>
              <w:bidi w:val="0"/>
              <w:spacing w:line="240" w:lineRule="auto"/>
              <w:ind w:firstLine="560" w:firstLineChars="200"/>
              <w:rPr>
                <w:rFonts w:hint="default"/>
                <w:sz w:val="28"/>
                <w:szCs w:val="28"/>
                <w:highlight w:val="none"/>
                <w:shd w:val="clear" w:color="auto" w:fill="auto"/>
                <w:lang w:val="en-US" w:eastAsia="zh-CN"/>
              </w:rPr>
            </w:pPr>
            <w:r>
              <w:rPr>
                <w:rFonts w:hint="eastAsia"/>
                <w:b/>
                <w:bCs/>
                <w:sz w:val="28"/>
                <w:szCs w:val="28"/>
                <w:highlight w:val="none"/>
                <w:shd w:val="clear" w:color="auto" w:fill="auto"/>
                <w:lang w:val="en-US" w:eastAsia="zh-CN"/>
              </w:rPr>
              <w:t>加强智慧园区建设。</w:t>
            </w:r>
            <w:r>
              <w:rPr>
                <w:rFonts w:hint="eastAsia"/>
                <w:sz w:val="28"/>
                <w:szCs w:val="28"/>
                <w:highlight w:val="none"/>
                <w:shd w:val="clear" w:color="auto" w:fill="auto"/>
                <w:lang w:val="en-US" w:eastAsia="zh-CN"/>
              </w:rPr>
              <w:t>运用物联网、大数据等技术，实现设施设备智能化管理，如智慧安防、智慧照明、智慧能源系统，降低运营成本，提升管理效率。</w:t>
            </w:r>
          </w:p>
        </w:tc>
      </w:tr>
      <w:bookmarkEnd w:id="53"/>
    </w:tbl>
    <w:p w14:paraId="1EB3D784">
      <w:pPr>
        <w:pStyle w:val="2"/>
        <w:bidi w:val="0"/>
        <w:rPr>
          <w:rFonts w:hint="eastAsia"/>
          <w:lang w:val="en-US" w:eastAsia="zh-CN"/>
        </w:rPr>
      </w:pPr>
      <w:bookmarkStart w:id="145" w:name="_Toc9723"/>
      <w:bookmarkStart w:id="146" w:name="_Toc9072"/>
      <w:bookmarkStart w:id="147" w:name="_Toc32159"/>
      <w:bookmarkStart w:id="148" w:name="_Toc17059"/>
      <w:bookmarkStart w:id="149" w:name="_Toc7386"/>
      <w:bookmarkStart w:id="150" w:name="_Toc16708"/>
      <w:bookmarkStart w:id="151" w:name="_Toc26970"/>
      <w:bookmarkStart w:id="152" w:name="_Toc12581"/>
      <w:bookmarkStart w:id="153" w:name="_Toc11997"/>
      <w:bookmarkStart w:id="154" w:name="_Toc27822"/>
      <w:bookmarkStart w:id="155" w:name="_Toc13727"/>
      <w:bookmarkStart w:id="156" w:name="_Toc10041"/>
      <w:bookmarkStart w:id="157" w:name="_Toc22892"/>
      <w:bookmarkStart w:id="158" w:name="_Toc2007"/>
      <w:bookmarkStart w:id="159" w:name="_Toc26306"/>
      <w:bookmarkStart w:id="160" w:name="_Toc15994"/>
      <w:bookmarkStart w:id="161" w:name="_Toc28005"/>
      <w:bookmarkStart w:id="162" w:name="_Toc19528"/>
      <w:r>
        <w:rPr>
          <w:rFonts w:hint="eastAsia"/>
          <w:lang w:val="en-US" w:eastAsia="zh-CN"/>
        </w:rPr>
        <w:t>五、构建便利的投资贸易环境</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24558D58">
      <w:pPr>
        <w:pStyle w:val="3"/>
        <w:bidi w:val="0"/>
        <w:rPr>
          <w:rFonts w:hint="default"/>
          <w:lang w:val="en-US" w:eastAsia="zh-CN"/>
        </w:rPr>
      </w:pPr>
      <w:bookmarkStart w:id="163" w:name="_Toc24810"/>
      <w:bookmarkStart w:id="164" w:name="_Toc16202"/>
      <w:bookmarkStart w:id="165" w:name="_Toc8661"/>
      <w:bookmarkStart w:id="166" w:name="OLE_LINK1"/>
      <w:r>
        <w:rPr>
          <w:rFonts w:hint="eastAsia"/>
          <w:lang w:val="en-US" w:eastAsia="zh-CN"/>
        </w:rPr>
        <w:t>（一）</w:t>
      </w:r>
      <w:bookmarkEnd w:id="163"/>
      <w:r>
        <w:rPr>
          <w:rFonts w:hint="eastAsia"/>
          <w:lang w:val="en-US" w:eastAsia="zh-CN"/>
        </w:rPr>
        <w:t>打造制度型开放高地</w:t>
      </w:r>
      <w:bookmarkEnd w:id="164"/>
      <w:bookmarkEnd w:id="165"/>
    </w:p>
    <w:p w14:paraId="306AA1B5">
      <w:pPr>
        <w:pageBreakBefore w:val="0"/>
        <w:kinsoku/>
        <w:wordWrap/>
        <w:autoSpaceDE/>
        <w:autoSpaceDN/>
        <w:bidi w:val="0"/>
        <w:spacing w:line="560" w:lineRule="exact"/>
        <w:ind w:firstLine="640" w:firstLineChars="200"/>
        <w:rPr>
          <w:rFonts w:hint="eastAsia" w:ascii="仿宋_GB2312" w:hAnsi="仿宋_GB2312" w:eastAsia="仿宋_GB2312" w:cs="仿宋_GB2312"/>
          <w:color w:val="auto"/>
          <w:sz w:val="32"/>
          <w:highlight w:val="none"/>
          <w:lang w:val="zh-CN" w:eastAsia="zh-CN"/>
        </w:rPr>
      </w:pPr>
      <w:r>
        <w:rPr>
          <w:rFonts w:hint="eastAsia" w:cs="仿宋_GB2312"/>
          <w:b/>
          <w:bCs/>
          <w:color w:val="auto"/>
          <w:spacing w:val="0"/>
          <w:w w:val="100"/>
          <w:kern w:val="2"/>
          <w:sz w:val="32"/>
          <w:szCs w:val="32"/>
          <w:highlight w:val="none"/>
          <w:u w:val="none" w:color="auto"/>
          <w:lang w:val="en-US" w:eastAsia="zh-CN" w:bidi="ar-SA"/>
        </w:rPr>
        <w:t>持续优化外资引入制度体系。</w:t>
      </w:r>
      <w:r>
        <w:rPr>
          <w:rFonts w:hint="eastAsia" w:ascii="仿宋_GB2312" w:hAnsi="仿宋_GB2312" w:eastAsia="仿宋_GB2312" w:cs="仿宋_GB2312"/>
          <w:color w:val="auto"/>
          <w:sz w:val="32"/>
          <w:highlight w:val="none"/>
          <w:lang w:val="zh-CN" w:eastAsia="zh-CN"/>
        </w:rPr>
        <w:t>保障外资企业公平参与标准制定、政府采购、招标投标，推动电信、医疗、金融等服务业领域更高水平开放。</w:t>
      </w:r>
      <w:r>
        <w:rPr>
          <w:rFonts w:hint="eastAsia" w:ascii="仿宋_GB2312" w:hAnsi="仿宋_GB2312" w:eastAsia="仿宋_GB2312"/>
          <w:color w:val="auto"/>
          <w:highlight w:val="none"/>
          <w:lang w:val="en-US" w:eastAsia="zh-CN"/>
        </w:rPr>
        <w:t>不断优化注册流程，加强外商投资企业登记注册的政策指导。</w:t>
      </w:r>
      <w:r>
        <w:rPr>
          <w:rFonts w:hint="eastAsia"/>
          <w:b w:val="0"/>
          <w:bCs w:val="0"/>
          <w:highlight w:val="none"/>
        </w:rPr>
        <w:t>积极鼓励外商投资，持续落实外商企业圆桌会议制度，助力外资企业发展。</w:t>
      </w:r>
      <w:r>
        <w:rPr>
          <w:rFonts w:hint="eastAsia"/>
          <w:highlight w:val="none"/>
          <w:lang w:val="en-US" w:eastAsia="zh-CN"/>
        </w:rPr>
        <w:t>充分释放制度型开放政策红利，优化外商投资全流程服务体系，畅通国际合作渠道，推动标志性外资项目落地实施。制定鼓励外资企业境内再投资政策举措。大力发展更高能级总部经济，健全支持外资设立投资新公司的协同工作机制，引导更多优质外资长期投资本区企业。</w:t>
      </w:r>
    </w:p>
    <w:p w14:paraId="54AE3B04">
      <w:pPr>
        <w:pStyle w:val="3"/>
        <w:bidi w:val="0"/>
      </w:pPr>
      <w:bookmarkStart w:id="167" w:name="_Toc24150"/>
      <w:bookmarkStart w:id="168" w:name="_Toc1785"/>
      <w:bookmarkStart w:id="169" w:name="_Toc9520"/>
      <w:r>
        <w:rPr>
          <w:rFonts w:hint="eastAsia"/>
          <w:lang w:val="en-US" w:eastAsia="zh-CN"/>
        </w:rPr>
        <w:t>（二）拓展国际协作网络</w:t>
      </w:r>
      <w:bookmarkEnd w:id="167"/>
      <w:bookmarkEnd w:id="168"/>
      <w:bookmarkEnd w:id="169"/>
    </w:p>
    <w:p w14:paraId="7B7F604F">
      <w:pPr>
        <w:pageBreakBefore w:val="0"/>
        <w:kinsoku/>
        <w:wordWrap/>
        <w:autoSpaceDE/>
        <w:autoSpaceDN/>
        <w:bidi w:val="0"/>
        <w:spacing w:line="560" w:lineRule="exact"/>
        <w:ind w:firstLine="640" w:firstLineChars="200"/>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b/>
          <w:bCs/>
          <w:color w:val="auto"/>
          <w:sz w:val="32"/>
          <w:highlight w:val="none"/>
          <w:lang w:val="en-US" w:eastAsia="zh-CN"/>
        </w:rPr>
        <w:t>深化国际区域合作。</w:t>
      </w:r>
      <w:r>
        <w:rPr>
          <w:rFonts w:hint="eastAsia" w:ascii="仿宋_GB2312" w:hAnsi="仿宋_GB2312" w:eastAsia="仿宋_GB2312" w:cs="仿宋_GB2312"/>
          <w:b w:val="0"/>
          <w:bCs w:val="0"/>
          <w:color w:val="auto"/>
          <w:sz w:val="32"/>
          <w:highlight w:val="none"/>
          <w:lang w:val="en-US" w:eastAsia="zh-CN"/>
        </w:rPr>
        <w:t>拓展</w:t>
      </w:r>
      <w:r>
        <w:rPr>
          <w:rFonts w:hint="eastAsia" w:ascii="仿宋_GB2312" w:hAnsi="仿宋_GB2312" w:eastAsia="仿宋_GB2312" w:cs="仿宋_GB2312"/>
          <w:color w:val="auto"/>
          <w:sz w:val="32"/>
          <w:highlight w:val="none"/>
          <w:lang w:val="en-US" w:eastAsia="zh-CN"/>
        </w:rPr>
        <w:t>与</w:t>
      </w:r>
      <w:r>
        <w:rPr>
          <w:rFonts w:hint="eastAsia" w:ascii="仿宋_GB2312" w:hAnsi="仿宋_GB2312" w:cs="仿宋_GB2312"/>
          <w:color w:val="auto"/>
          <w:sz w:val="32"/>
          <w:highlight w:val="none"/>
          <w:lang w:val="en-US" w:eastAsia="zh-CN"/>
        </w:rPr>
        <w:t>“</w:t>
      </w:r>
      <w:r>
        <w:rPr>
          <w:rFonts w:hint="eastAsia" w:ascii="仿宋_GB2312" w:hAnsi="仿宋_GB2312" w:eastAsia="仿宋_GB2312" w:cs="仿宋_GB2312"/>
          <w:color w:val="auto"/>
          <w:sz w:val="32"/>
          <w:highlight w:val="none"/>
          <w:lang w:val="en-US" w:eastAsia="zh-CN"/>
        </w:rPr>
        <w:t>一带一路</w:t>
      </w:r>
      <w:r>
        <w:rPr>
          <w:rFonts w:hint="eastAsia" w:ascii="仿宋_GB2312" w:hAnsi="仿宋_GB2312" w:cs="仿宋_GB2312"/>
          <w:color w:val="auto"/>
          <w:sz w:val="32"/>
          <w:highlight w:val="none"/>
          <w:lang w:val="en-US" w:eastAsia="zh-CN"/>
        </w:rPr>
        <w:t>”</w:t>
      </w:r>
      <w:r>
        <w:rPr>
          <w:rFonts w:hint="eastAsia" w:ascii="仿宋_GB2312" w:hAnsi="仿宋_GB2312" w:eastAsia="仿宋_GB2312" w:cs="仿宋_GB2312"/>
          <w:color w:val="auto"/>
          <w:sz w:val="32"/>
          <w:highlight w:val="none"/>
          <w:lang w:val="en-US" w:eastAsia="zh-CN"/>
        </w:rPr>
        <w:t>沿线国家及全球科技创新高地城市</w:t>
      </w:r>
      <w:r>
        <w:rPr>
          <w:rFonts w:hint="eastAsia" w:cs="仿宋_GB2312"/>
          <w:color w:val="auto"/>
          <w:sz w:val="32"/>
          <w:highlight w:val="none"/>
          <w:lang w:val="en-US" w:eastAsia="zh-CN"/>
        </w:rPr>
        <w:t>的</w:t>
      </w:r>
      <w:r>
        <w:rPr>
          <w:rFonts w:hint="eastAsia" w:ascii="仿宋_GB2312" w:hAnsi="仿宋_GB2312" w:eastAsia="仿宋_GB2312" w:cs="仿宋_GB2312"/>
          <w:color w:val="auto"/>
          <w:sz w:val="32"/>
          <w:highlight w:val="none"/>
          <w:lang w:val="en-US" w:eastAsia="zh-CN"/>
        </w:rPr>
        <w:t>友城</w:t>
      </w:r>
      <w:r>
        <w:rPr>
          <w:rFonts w:hint="eastAsia" w:cs="仿宋_GB2312"/>
          <w:color w:val="auto"/>
          <w:sz w:val="32"/>
          <w:highlight w:val="none"/>
          <w:lang w:val="en-US" w:eastAsia="zh-CN"/>
        </w:rPr>
        <w:t>合作</w:t>
      </w:r>
      <w:r>
        <w:rPr>
          <w:rFonts w:hint="eastAsia" w:ascii="仿宋_GB2312" w:hAnsi="仿宋_GB2312" w:eastAsia="仿宋_GB2312" w:cs="仿宋_GB2312"/>
          <w:color w:val="auto"/>
          <w:sz w:val="32"/>
          <w:highlight w:val="none"/>
          <w:lang w:val="en-US" w:eastAsia="zh-CN"/>
        </w:rPr>
        <w:t>。</w:t>
      </w:r>
      <w:r>
        <w:rPr>
          <w:rFonts w:hint="eastAsia" w:cs="仿宋_GB2312"/>
          <w:color w:val="auto"/>
          <w:sz w:val="32"/>
          <w:highlight w:val="none"/>
          <w:lang w:val="en-US" w:eastAsia="zh-CN"/>
        </w:rPr>
        <w:t>持续开展</w:t>
      </w:r>
      <w:r>
        <w:rPr>
          <w:rFonts w:hint="eastAsia" w:ascii="仿宋_GB2312" w:hAnsi="仿宋_GB2312" w:eastAsia="仿宋_GB2312" w:cs="仿宋_GB2312"/>
          <w:color w:val="auto"/>
          <w:sz w:val="32"/>
          <w:highlight w:val="none"/>
          <w:lang w:val="en-US" w:eastAsia="zh-CN"/>
        </w:rPr>
        <w:t>与RCEP</w:t>
      </w:r>
      <w:r>
        <w:rPr>
          <w:rFonts w:hint="eastAsia" w:cs="仿宋_GB2312"/>
          <w:color w:val="auto"/>
          <w:sz w:val="32"/>
          <w:highlight w:val="none"/>
          <w:lang w:val="en-US" w:eastAsia="zh-CN"/>
        </w:rPr>
        <w:t>成员国</w:t>
      </w:r>
      <w:r>
        <w:rPr>
          <w:rFonts w:hint="eastAsia" w:ascii="仿宋_GB2312" w:hAnsi="仿宋_GB2312" w:eastAsia="仿宋_GB2312" w:cs="仿宋_GB2312"/>
          <w:color w:val="auto"/>
          <w:sz w:val="32"/>
          <w:highlight w:val="none"/>
          <w:lang w:val="en-US" w:eastAsia="zh-CN"/>
        </w:rPr>
        <w:t>、欧盟</w:t>
      </w:r>
      <w:r>
        <w:rPr>
          <w:rFonts w:hint="eastAsia" w:cs="仿宋_GB2312"/>
          <w:color w:val="auto"/>
          <w:sz w:val="32"/>
          <w:highlight w:val="none"/>
          <w:lang w:val="en-US" w:eastAsia="zh-CN"/>
        </w:rPr>
        <w:t>及</w:t>
      </w:r>
      <w:r>
        <w:rPr>
          <w:rFonts w:hint="eastAsia" w:ascii="仿宋_GB2312" w:hAnsi="仿宋_GB2312" w:eastAsia="仿宋_GB2312" w:cs="仿宋_GB2312"/>
          <w:color w:val="auto"/>
          <w:sz w:val="32"/>
          <w:highlight w:val="none"/>
          <w:lang w:val="en-US" w:eastAsia="zh-CN"/>
        </w:rPr>
        <w:t>北美等重点区域年度产业对接</w:t>
      </w:r>
      <w:r>
        <w:rPr>
          <w:rFonts w:hint="eastAsia" w:cs="仿宋_GB2312"/>
          <w:color w:val="auto"/>
          <w:sz w:val="32"/>
          <w:highlight w:val="none"/>
          <w:lang w:val="en-US" w:eastAsia="zh-CN"/>
        </w:rPr>
        <w:t>。</w:t>
      </w:r>
      <w:r>
        <w:rPr>
          <w:rFonts w:hint="eastAsia"/>
          <w:b w:val="0"/>
          <w:bCs w:val="0"/>
          <w:color w:val="auto"/>
          <w:highlight w:val="none"/>
          <w:shd w:val="clear" w:color="auto" w:fill="auto"/>
          <w:lang w:val="en-US" w:eastAsia="zh-CN"/>
        </w:rPr>
        <w:t>发挥欧洲（北京昌平）创新中心、中国土耳其（北京昌平）商贸中心、技术性贸易措施公共服务站等载体作用，强化</w:t>
      </w:r>
      <w:r>
        <w:rPr>
          <w:rFonts w:hint="eastAsia" w:ascii="仿宋_GB2312" w:hAnsi="仿宋_GB2312" w:eastAsia="仿宋_GB2312" w:cs="仿宋_GB2312"/>
          <w:b w:val="0"/>
          <w:bCs w:val="0"/>
          <w:i w:val="0"/>
          <w:iCs w:val="0"/>
          <w:caps w:val="0"/>
          <w:color w:val="auto"/>
          <w:spacing w:val="0"/>
          <w:sz w:val="32"/>
          <w:szCs w:val="24"/>
          <w:highlight w:val="none"/>
          <w:shd w:val="clear" w:color="auto" w:fill="auto"/>
        </w:rPr>
        <w:t>离岸服务供给</w:t>
      </w:r>
      <w:r>
        <w:rPr>
          <w:rFonts w:hint="eastAsia" w:cs="仿宋_GB2312"/>
          <w:b w:val="0"/>
          <w:bCs w:val="0"/>
          <w:i w:val="0"/>
          <w:iCs w:val="0"/>
          <w:caps w:val="0"/>
          <w:color w:val="auto"/>
          <w:spacing w:val="0"/>
          <w:sz w:val="32"/>
          <w:szCs w:val="24"/>
          <w:highlight w:val="none"/>
          <w:shd w:val="clear" w:color="auto" w:fill="auto"/>
          <w:lang w:eastAsia="zh-CN"/>
        </w:rPr>
        <w:t>。</w:t>
      </w:r>
      <w:r>
        <w:rPr>
          <w:rFonts w:hint="eastAsia" w:cs="仿宋_GB2312"/>
          <w:b w:val="0"/>
          <w:bCs w:val="0"/>
          <w:i w:val="0"/>
          <w:iCs w:val="0"/>
          <w:caps w:val="0"/>
          <w:color w:val="auto"/>
          <w:spacing w:val="0"/>
          <w:sz w:val="32"/>
          <w:szCs w:val="24"/>
          <w:highlight w:val="none"/>
          <w:shd w:val="clear" w:color="auto" w:fill="auto"/>
          <w:lang w:val="en-US" w:eastAsia="zh-CN"/>
        </w:rPr>
        <w:t>深化与国际产业园区对接协作，推动海外人才、前沿技术、优质科创项目高效流动与集聚落地，提升区域国际科创协同能力。</w:t>
      </w:r>
    </w:p>
    <w:p w14:paraId="0A8395AD">
      <w:pPr>
        <w:pageBreakBefore w:val="0"/>
        <w:kinsoku/>
        <w:wordWrap/>
        <w:autoSpaceDE/>
        <w:autoSpaceDN/>
        <w:bidi w:val="0"/>
        <w:spacing w:line="560" w:lineRule="exact"/>
        <w:ind w:firstLine="643"/>
        <w:rPr>
          <w:rFonts w:hint="eastAsia"/>
          <w:b w:val="0"/>
          <w:bCs w:val="0"/>
          <w:color w:val="auto"/>
          <w:highlight w:val="none"/>
          <w:shd w:val="clear" w:color="auto" w:fill="auto"/>
        </w:rPr>
      </w:pPr>
      <w:r>
        <w:rPr>
          <w:rFonts w:hint="eastAsia"/>
          <w:b/>
          <w:bCs/>
          <w:color w:val="auto"/>
          <w:highlight w:val="none"/>
          <w:shd w:val="clear" w:color="auto" w:fill="auto"/>
          <w:lang w:val="en-US" w:eastAsia="zh-CN"/>
        </w:rPr>
        <w:t>完善企业全周期出海服务</w:t>
      </w:r>
      <w:r>
        <w:rPr>
          <w:rFonts w:hint="eastAsia"/>
          <w:b/>
          <w:bCs/>
          <w:color w:val="auto"/>
          <w:highlight w:val="none"/>
          <w:shd w:val="clear" w:color="auto" w:fill="auto"/>
        </w:rPr>
        <w:t>。</w:t>
      </w:r>
      <w:r>
        <w:rPr>
          <w:rFonts w:hint="eastAsia"/>
          <w:b w:val="0"/>
          <w:bCs w:val="0"/>
          <w:color w:val="auto"/>
          <w:highlight w:val="none"/>
          <w:shd w:val="clear" w:color="auto" w:fill="auto"/>
        </w:rPr>
        <w:t>聚焦企业出海需求，动态更新昌平区出口产品目录，服务企业出海，常态化组织面向民营企业、特别是中小科技企业的跨境合规专题培训与能力提升计划。依托昌生驿站、昌能驿站，整合通关、物流、法律等一站式服务，</w:t>
      </w:r>
      <w:r>
        <w:rPr>
          <w:rFonts w:hint="eastAsia"/>
          <w:b w:val="0"/>
          <w:bCs w:val="0"/>
          <w:color w:val="auto"/>
          <w:highlight w:val="none"/>
          <w:shd w:val="clear" w:color="auto" w:fill="auto"/>
          <w:lang w:val="en-US" w:eastAsia="zh-CN"/>
        </w:rPr>
        <w:t>助力企业高水平走出去</w:t>
      </w:r>
      <w:r>
        <w:rPr>
          <w:rStyle w:val="31"/>
          <w:rFonts w:hint="eastAsia"/>
          <w:color w:val="auto"/>
          <w:highlight w:val="none"/>
          <w:shd w:val="clear" w:color="auto" w:fill="auto"/>
        </w:rPr>
        <w:footnoteReference w:id="27"/>
      </w:r>
      <w:r>
        <w:rPr>
          <w:rFonts w:hint="eastAsia"/>
          <w:b w:val="0"/>
          <w:bCs w:val="0"/>
          <w:color w:val="auto"/>
          <w:highlight w:val="none"/>
          <w:shd w:val="clear" w:color="auto" w:fill="auto"/>
        </w:rPr>
        <w:t>。动态更新昌平区出口产品目录，服务企业出海</w:t>
      </w:r>
      <w:r>
        <w:rPr>
          <w:rFonts w:hint="eastAsia"/>
          <w:b w:val="0"/>
          <w:bCs w:val="0"/>
          <w:color w:val="auto"/>
          <w:highlight w:val="none"/>
          <w:shd w:val="clear" w:color="auto" w:fill="auto"/>
          <w:lang w:eastAsia="zh-CN"/>
        </w:rPr>
        <w:t>，</w:t>
      </w:r>
      <w:r>
        <w:rPr>
          <w:rFonts w:hint="eastAsia"/>
          <w:b w:val="0"/>
          <w:bCs w:val="0"/>
          <w:color w:val="auto"/>
          <w:highlight w:val="none"/>
          <w:shd w:val="clear" w:color="auto" w:fill="auto"/>
        </w:rPr>
        <w:t>常态化组织面向民营企业、特别是中小科技企业的跨境合规专题培训与能力提升计划。借助各种重大活动平台，积极为昌平区</w:t>
      </w:r>
      <w:r>
        <w:rPr>
          <w:rFonts w:hint="eastAsia"/>
          <w:b w:val="0"/>
          <w:bCs w:val="0"/>
          <w:color w:val="auto"/>
          <w:highlight w:val="none"/>
          <w:shd w:val="clear" w:color="auto" w:fill="auto"/>
          <w:lang w:eastAsia="zh-CN"/>
        </w:rPr>
        <w:t>企业“走出去”</w:t>
      </w:r>
      <w:r>
        <w:rPr>
          <w:rFonts w:hint="eastAsia"/>
          <w:b w:val="0"/>
          <w:bCs w:val="0"/>
          <w:color w:val="auto"/>
          <w:highlight w:val="none"/>
          <w:shd w:val="clear" w:color="auto" w:fill="auto"/>
        </w:rPr>
        <w:t>搭建平台。</w:t>
      </w:r>
    </w:p>
    <w:p w14:paraId="66867223">
      <w:pPr>
        <w:pStyle w:val="3"/>
        <w:pageBreakBefore w:val="0"/>
        <w:kinsoku/>
        <w:wordWrap/>
        <w:topLinePunct/>
        <w:autoSpaceDE/>
        <w:autoSpaceDN/>
        <w:bidi w:val="0"/>
        <w:ind w:firstLineChars="200"/>
        <w:outlineLvl w:val="1"/>
        <w:rPr>
          <w:rFonts w:hint="eastAsia" w:ascii="仿宋_GB2312" w:hAnsi="仿宋_GB2312" w:cs="仿宋_GB2312"/>
          <w:color w:val="auto"/>
          <w:sz w:val="32"/>
          <w:szCs w:val="32"/>
          <w:highlight w:val="none"/>
          <w:lang w:val="en-US" w:eastAsia="zh-CN"/>
        </w:rPr>
      </w:pPr>
      <w:bookmarkStart w:id="170" w:name="_Toc18345"/>
      <w:bookmarkStart w:id="171" w:name="_Toc25577"/>
      <w:r>
        <w:rPr>
          <w:rFonts w:hint="eastAsia"/>
          <w:lang w:val="en-US" w:eastAsia="zh-CN"/>
        </w:rPr>
        <w:t>（三）完善</w:t>
      </w:r>
      <w:r>
        <w:rPr>
          <w:rFonts w:hint="default"/>
          <w:lang w:val="en-US" w:eastAsia="zh-CN"/>
        </w:rPr>
        <w:t>国际化</w:t>
      </w:r>
      <w:r>
        <w:rPr>
          <w:rFonts w:hint="eastAsia"/>
          <w:lang w:val="en-US" w:eastAsia="zh-CN"/>
        </w:rPr>
        <w:t>商务</w:t>
      </w:r>
      <w:r>
        <w:rPr>
          <w:rFonts w:hint="default"/>
          <w:lang w:val="en-US" w:eastAsia="zh-CN"/>
        </w:rPr>
        <w:t>环境</w:t>
      </w:r>
      <w:bookmarkEnd w:id="170"/>
      <w:bookmarkEnd w:id="171"/>
    </w:p>
    <w:p w14:paraId="7C374ACC">
      <w:pPr>
        <w:pageBreakBefore w:val="0"/>
        <w:numPr>
          <w:ilvl w:val="-1"/>
          <w:numId w:val="0"/>
        </w:numPr>
        <w:kinsoku/>
        <w:wordWrap/>
        <w:topLinePunct w:val="0"/>
        <w:autoSpaceDE/>
        <w:autoSpaceDN/>
        <w:bidi w:val="0"/>
        <w:spacing w:line="560" w:lineRule="exact"/>
        <w:ind w:firstLine="640" w:firstLineChars="200"/>
        <w:outlineLvl w:val="9"/>
        <w:rPr>
          <w:rFonts w:hint="eastAsia" w:ascii="仿宋_GB2312" w:hAnsi="仿宋_GB2312" w:cs="仿宋_GB2312"/>
          <w:color w:val="auto"/>
          <w:sz w:val="32"/>
          <w:szCs w:val="32"/>
          <w:highlight w:val="none"/>
          <w:lang w:val="en-US" w:eastAsia="zh-CN"/>
        </w:rPr>
      </w:pPr>
      <w:r>
        <w:rPr>
          <w:rFonts w:hint="eastAsia" w:cs="仿宋_GB2312"/>
          <w:b/>
          <w:bCs/>
          <w:color w:val="auto"/>
          <w:sz w:val="32"/>
          <w:szCs w:val="32"/>
          <w:highlight w:val="none"/>
          <w:lang w:val="en-US" w:eastAsia="zh-CN"/>
        </w:rPr>
        <w:t>深化国际商事法律服务。</w:t>
      </w:r>
      <w:r>
        <w:rPr>
          <w:rFonts w:hint="eastAsia" w:ascii="仿宋_GB2312" w:hAnsi="仿宋_GB2312" w:cs="仿宋_GB2312"/>
          <w:color w:val="auto"/>
          <w:sz w:val="32"/>
          <w:szCs w:val="32"/>
          <w:highlight w:val="none"/>
          <w:lang w:val="en-US" w:eastAsia="zh-CN"/>
        </w:rPr>
        <w:t>与具有行业优势和专业能力的有关商事调解组织建立常态化对接合作机制，依托其专业资源与国际标准调解流程，结合昌平区产业发展特点与企业实际需求，探索高效商事调解模式，提升涉外纠纷化解效率。加强与国际司法机构的交流合作，推动司法判决和仲裁裁决的跨境承认与执行。</w:t>
      </w:r>
    </w:p>
    <w:p w14:paraId="3CAB644E">
      <w:pPr>
        <w:pageBreakBefore w:val="0"/>
        <w:numPr>
          <w:ilvl w:val="-1"/>
          <w:numId w:val="0"/>
        </w:numPr>
        <w:kinsoku/>
        <w:wordWrap/>
        <w:topLinePunct w:val="0"/>
        <w:autoSpaceDE/>
        <w:autoSpaceDN/>
        <w:bidi w:val="0"/>
        <w:spacing w:line="560" w:lineRule="exact"/>
        <w:ind w:firstLine="640" w:firstLineChars="200"/>
        <w:outlineLvl w:val="9"/>
        <w:rPr>
          <w:rFonts w:hint="eastAsia" w:ascii="仿宋_GB2312" w:hAnsi="仿宋_GB2312" w:cs="仿宋_GB2312"/>
          <w:color w:val="auto"/>
          <w:sz w:val="32"/>
          <w:szCs w:val="32"/>
          <w:highlight w:val="none"/>
          <w:lang w:val="en-US" w:eastAsia="zh-CN"/>
        </w:rPr>
      </w:pPr>
      <w:r>
        <w:rPr>
          <w:rFonts w:hint="eastAsia" w:cs="仿宋_GB2312"/>
          <w:b/>
          <w:bCs/>
          <w:color w:val="auto"/>
          <w:sz w:val="32"/>
          <w:szCs w:val="32"/>
          <w:highlight w:val="none"/>
          <w:lang w:val="en-US" w:eastAsia="zh-CN"/>
        </w:rPr>
        <w:t>提升国际化配套水平。</w:t>
      </w:r>
      <w:r>
        <w:rPr>
          <w:rFonts w:hint="eastAsia"/>
          <w:b w:val="0"/>
          <w:bCs w:val="0"/>
          <w:color w:val="auto"/>
          <w:highlight w:val="none"/>
          <w:shd w:val="clear" w:color="auto" w:fill="auto"/>
          <w:lang w:val="en-US" w:eastAsia="zh-CN"/>
        </w:rPr>
        <w:t>加</w:t>
      </w:r>
      <w:r>
        <w:rPr>
          <w:rFonts w:hint="eastAsia"/>
          <w:color w:val="auto"/>
          <w:highlight w:val="none"/>
          <w:shd w:val="clear" w:color="auto" w:fill="auto"/>
        </w:rPr>
        <w:t>强商户外卡支付服务能力，</w:t>
      </w:r>
      <w:r>
        <w:rPr>
          <w:rFonts w:hint="eastAsia"/>
          <w:color w:val="auto"/>
          <w:highlight w:val="none"/>
          <w:shd w:val="clear" w:color="auto" w:fill="auto"/>
          <w:lang w:val="en-US" w:eastAsia="zh-CN"/>
        </w:rPr>
        <w:t>拓展境外人员护照、外国人永久居留身份证、外籍人员社会</w:t>
      </w:r>
      <w:bookmarkStart w:id="271" w:name="_GoBack"/>
      <w:bookmarkEnd w:id="271"/>
      <w:r>
        <w:rPr>
          <w:rFonts w:hint="eastAsia"/>
          <w:color w:val="auto"/>
          <w:highlight w:val="none"/>
          <w:shd w:val="clear" w:color="auto" w:fill="auto"/>
          <w:lang w:val="en-US" w:eastAsia="zh-CN"/>
        </w:rPr>
        <w:t>保障卡等身份证件应用场景。</w:t>
      </w:r>
      <w:r>
        <w:rPr>
          <w:rFonts w:hint="eastAsia"/>
          <w:color w:val="auto"/>
          <w:highlight w:val="none"/>
          <w:shd w:val="clear" w:color="auto" w:fill="auto"/>
        </w:rPr>
        <w:t>通过完善旅游、餐饮、消费等重点场景外语标识</w:t>
      </w:r>
      <w:r>
        <w:rPr>
          <w:rFonts w:hint="eastAsia"/>
          <w:color w:val="auto"/>
          <w:highlight w:val="none"/>
          <w:shd w:val="clear" w:color="auto" w:fill="auto"/>
          <w:lang w:eastAsia="zh-CN"/>
        </w:rPr>
        <w:t>，</w:t>
      </w:r>
      <w:r>
        <w:rPr>
          <w:rFonts w:hint="eastAsia"/>
          <w:color w:val="auto"/>
          <w:highlight w:val="none"/>
          <w:shd w:val="clear" w:color="auto" w:fill="auto"/>
        </w:rPr>
        <w:t>配备人工智能多语种翻译设备等方式，大力开展无障碍语言沟通行动。</w:t>
      </w:r>
    </w:p>
    <w:bookmarkEnd w:id="166"/>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DCC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9129" w:type="dxa"/>
            <w:vAlign w:val="center"/>
          </w:tcPr>
          <w:p w14:paraId="172356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黑体" w:hAnsi="黑体" w:eastAsia="黑体"/>
                <w:kern w:val="0"/>
                <w:sz w:val="28"/>
                <w:szCs w:val="28"/>
                <w:highlight w:val="none"/>
                <w:shd w:val="clear" w:color="auto" w:fill="auto"/>
                <w:lang w:val="en-US" w:eastAsia="zh-CN"/>
              </w:rPr>
            </w:pPr>
            <w:r>
              <w:rPr>
                <w:rFonts w:hint="eastAsia" w:ascii="黑体" w:hAnsi="黑体" w:eastAsia="黑体"/>
                <w:b w:val="0"/>
                <w:bCs w:val="0"/>
                <w:kern w:val="0"/>
                <w:sz w:val="28"/>
                <w:szCs w:val="28"/>
                <w:highlight w:val="none"/>
                <w:shd w:val="clear" w:color="auto" w:fill="auto"/>
              </w:rPr>
              <w:t>专栏</w:t>
            </w:r>
            <w:r>
              <w:rPr>
                <w:rFonts w:hint="eastAsia" w:ascii="黑体" w:hAnsi="黑体" w:eastAsia="黑体"/>
                <w:b w:val="0"/>
                <w:bCs w:val="0"/>
                <w:kern w:val="0"/>
                <w:sz w:val="28"/>
                <w:szCs w:val="28"/>
                <w:highlight w:val="none"/>
                <w:shd w:val="clear" w:color="auto" w:fill="auto"/>
                <w:lang w:val="en-US" w:eastAsia="zh-CN"/>
              </w:rPr>
              <w:t>重点任务</w:t>
            </w:r>
          </w:p>
        </w:tc>
      </w:tr>
      <w:tr w14:paraId="0A78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9" w:type="dxa"/>
            <w:vAlign w:val="center"/>
          </w:tcPr>
          <w:p w14:paraId="79554246">
            <w:pPr>
              <w:pageBreakBefore w:val="0"/>
              <w:kinsoku/>
              <w:wordWrap/>
              <w:autoSpaceDE/>
              <w:autoSpaceDN/>
              <w:bidi w:val="0"/>
              <w:spacing w:line="240" w:lineRule="auto"/>
              <w:rPr>
                <w:rFonts w:hint="eastAsia"/>
                <w:b/>
                <w:bCs/>
                <w:sz w:val="28"/>
                <w:szCs w:val="28"/>
                <w:highlight w:val="none"/>
                <w:shd w:val="clear" w:color="auto" w:fill="auto"/>
                <w:lang w:val="en-US" w:eastAsia="zh-CN"/>
              </w:rPr>
            </w:pPr>
            <w:r>
              <w:rPr>
                <w:rFonts w:hint="eastAsia"/>
                <w:b/>
                <w:bCs/>
                <w:sz w:val="28"/>
                <w:szCs w:val="28"/>
                <w:highlight w:val="none"/>
                <w:shd w:val="clear" w:color="auto" w:fill="auto"/>
                <w:lang w:val="en-US" w:eastAsia="zh-CN"/>
              </w:rPr>
              <w:t>重点任务：企业出海行动</w:t>
            </w:r>
          </w:p>
          <w:p w14:paraId="19E8F5CD">
            <w:pPr>
              <w:keepNext w:val="0"/>
              <w:keepLines w:val="0"/>
              <w:pageBreakBefore w:val="0"/>
              <w:widowControl/>
              <w:kinsoku/>
              <w:wordWrap/>
              <w:overflowPunct/>
              <w:topLinePunct w:val="0"/>
              <w:autoSpaceDE/>
              <w:autoSpaceDN/>
              <w:bidi w:val="0"/>
              <w:adjustRightInd w:val="0"/>
              <w:snapToGrid w:val="0"/>
              <w:spacing w:line="240" w:lineRule="auto"/>
              <w:ind w:firstLine="560" w:firstLineChars="200"/>
              <w:jc w:val="left"/>
              <w:textAlignment w:val="auto"/>
              <w:rPr>
                <w:rFonts w:hint="eastAsia"/>
                <w:color w:val="auto"/>
                <w:sz w:val="28"/>
                <w:szCs w:val="28"/>
                <w:highlight w:val="none"/>
                <w:shd w:val="clear" w:color="auto" w:fill="auto"/>
              </w:rPr>
            </w:pPr>
            <w:r>
              <w:rPr>
                <w:rFonts w:hint="eastAsia"/>
                <w:b/>
                <w:bCs/>
                <w:color w:val="auto"/>
                <w:sz w:val="28"/>
                <w:szCs w:val="28"/>
                <w:highlight w:val="none"/>
                <w:shd w:val="clear" w:color="auto" w:fill="auto"/>
              </w:rPr>
              <w:t>事前引导</w:t>
            </w:r>
            <w:r>
              <w:rPr>
                <w:rFonts w:hint="eastAsia"/>
                <w:b/>
                <w:bCs/>
                <w:color w:val="auto"/>
                <w:sz w:val="28"/>
                <w:szCs w:val="28"/>
                <w:highlight w:val="none"/>
                <w:shd w:val="clear" w:color="auto" w:fill="auto"/>
                <w:lang w:eastAsia="zh-CN"/>
              </w:rPr>
              <w:t>：</w:t>
            </w:r>
            <w:r>
              <w:rPr>
                <w:rFonts w:hint="eastAsia"/>
                <w:color w:val="auto"/>
                <w:sz w:val="28"/>
                <w:szCs w:val="28"/>
                <w:highlight w:val="none"/>
                <w:shd w:val="clear" w:color="auto" w:fill="auto"/>
              </w:rPr>
              <w:t>整合多领域专业服务、投资沙龙活动、咨询引导、业务办理攻略、服务“走出去”工作指引等板块。</w:t>
            </w:r>
          </w:p>
          <w:p w14:paraId="4EFD6E6A">
            <w:pPr>
              <w:keepNext w:val="0"/>
              <w:keepLines w:val="0"/>
              <w:pageBreakBefore w:val="0"/>
              <w:widowControl/>
              <w:kinsoku/>
              <w:wordWrap/>
              <w:overflowPunct/>
              <w:topLinePunct w:val="0"/>
              <w:autoSpaceDE/>
              <w:autoSpaceDN/>
              <w:bidi w:val="0"/>
              <w:adjustRightInd w:val="0"/>
              <w:snapToGrid w:val="0"/>
              <w:spacing w:line="240" w:lineRule="auto"/>
              <w:ind w:firstLine="560" w:firstLineChars="200"/>
              <w:jc w:val="left"/>
              <w:textAlignment w:val="auto"/>
              <w:rPr>
                <w:rFonts w:hint="eastAsia"/>
                <w:color w:val="auto"/>
                <w:sz w:val="28"/>
                <w:szCs w:val="28"/>
                <w:highlight w:val="none"/>
                <w:shd w:val="clear" w:color="auto" w:fill="auto"/>
              </w:rPr>
            </w:pPr>
            <w:r>
              <w:rPr>
                <w:rFonts w:hint="eastAsia"/>
                <w:b/>
                <w:bCs/>
                <w:color w:val="auto"/>
                <w:sz w:val="28"/>
                <w:szCs w:val="28"/>
                <w:highlight w:val="none"/>
                <w:shd w:val="clear" w:color="auto" w:fill="auto"/>
              </w:rPr>
              <w:t>事中服务</w:t>
            </w:r>
            <w:r>
              <w:rPr>
                <w:rFonts w:hint="eastAsia"/>
                <w:b/>
                <w:bCs/>
                <w:color w:val="auto"/>
                <w:sz w:val="28"/>
                <w:szCs w:val="28"/>
                <w:highlight w:val="none"/>
                <w:shd w:val="clear" w:color="auto" w:fill="auto"/>
                <w:lang w:eastAsia="zh-CN"/>
              </w:rPr>
              <w:t>：</w:t>
            </w:r>
            <w:r>
              <w:rPr>
                <w:rFonts w:hint="eastAsia"/>
                <w:color w:val="auto"/>
                <w:sz w:val="28"/>
                <w:szCs w:val="28"/>
                <w:highlight w:val="none"/>
                <w:shd w:val="clear" w:color="auto" w:fill="auto"/>
              </w:rPr>
              <w:t>登记以全流程支持为核心，为企业提供涵盖中国公民出入境证件办理、境外投资项目备案等境内和境外使领馆报到登记、领事保护与境外安全防控专区等境外服务。</w:t>
            </w:r>
          </w:p>
          <w:p w14:paraId="3F0522BC">
            <w:pPr>
              <w:keepNext w:val="0"/>
              <w:keepLines w:val="0"/>
              <w:pageBreakBefore w:val="0"/>
              <w:widowControl/>
              <w:kinsoku/>
              <w:wordWrap/>
              <w:overflowPunct/>
              <w:topLinePunct w:val="0"/>
              <w:autoSpaceDE/>
              <w:autoSpaceDN/>
              <w:bidi w:val="0"/>
              <w:adjustRightInd w:val="0"/>
              <w:snapToGrid w:val="0"/>
              <w:spacing w:line="240" w:lineRule="auto"/>
              <w:ind w:firstLine="560" w:firstLineChars="200"/>
              <w:jc w:val="left"/>
              <w:textAlignment w:val="auto"/>
              <w:rPr>
                <w:rFonts w:hint="default"/>
                <w:sz w:val="28"/>
                <w:szCs w:val="28"/>
                <w:highlight w:val="none"/>
                <w:shd w:val="clear" w:color="auto" w:fill="auto"/>
                <w:lang w:val="en-US" w:eastAsia="zh-CN"/>
              </w:rPr>
            </w:pPr>
            <w:r>
              <w:rPr>
                <w:rFonts w:hint="eastAsia"/>
                <w:b/>
                <w:bCs/>
                <w:color w:val="auto"/>
                <w:sz w:val="28"/>
                <w:szCs w:val="28"/>
                <w:highlight w:val="none"/>
                <w:shd w:val="clear" w:color="auto" w:fill="auto"/>
              </w:rPr>
              <w:t>事后</w:t>
            </w:r>
            <w:r>
              <w:rPr>
                <w:rFonts w:hint="eastAsia"/>
                <w:b/>
                <w:bCs/>
                <w:color w:val="auto"/>
                <w:sz w:val="28"/>
                <w:szCs w:val="28"/>
                <w:highlight w:val="none"/>
                <w:shd w:val="clear" w:color="auto" w:fill="auto"/>
                <w:lang w:val="en-US" w:eastAsia="zh-CN"/>
              </w:rPr>
              <w:t>保障</w:t>
            </w:r>
            <w:r>
              <w:rPr>
                <w:rFonts w:hint="eastAsia"/>
                <w:b/>
                <w:bCs/>
                <w:color w:val="auto"/>
                <w:sz w:val="28"/>
                <w:szCs w:val="28"/>
                <w:highlight w:val="none"/>
                <w:shd w:val="clear" w:color="auto" w:fill="auto"/>
                <w:lang w:eastAsia="zh-CN"/>
              </w:rPr>
              <w:t>：</w:t>
            </w:r>
            <w:r>
              <w:rPr>
                <w:rFonts w:hint="eastAsia"/>
                <w:color w:val="auto"/>
                <w:sz w:val="28"/>
                <w:szCs w:val="28"/>
                <w:highlight w:val="none"/>
                <w:shd w:val="clear" w:color="auto" w:fill="auto"/>
              </w:rPr>
              <w:t>以履行义务为重点，提供统计义务和报告义务服务，确保企业及时、准确地履行相关法规要求，避免因违规操作而带来的法律风险。</w:t>
            </w:r>
          </w:p>
        </w:tc>
      </w:tr>
      <w:bookmarkEnd w:id="160"/>
      <w:bookmarkEnd w:id="161"/>
      <w:bookmarkEnd w:id="162"/>
    </w:tbl>
    <w:p w14:paraId="2AC0F35E">
      <w:pPr>
        <w:pStyle w:val="2"/>
        <w:bidi w:val="0"/>
      </w:pPr>
      <w:bookmarkStart w:id="172" w:name="_Toc21839"/>
      <w:bookmarkStart w:id="173" w:name="_Toc32228"/>
      <w:bookmarkStart w:id="174" w:name="_Toc19026"/>
      <w:bookmarkStart w:id="175" w:name="_Toc12915"/>
      <w:bookmarkStart w:id="176" w:name="_Toc3082"/>
      <w:bookmarkStart w:id="177" w:name="_Toc21092"/>
      <w:bookmarkStart w:id="178" w:name="_Toc2030"/>
      <w:bookmarkStart w:id="179" w:name="_Toc16413"/>
      <w:bookmarkStart w:id="180" w:name="_Hlk204069911"/>
      <w:bookmarkStart w:id="181" w:name="_Toc15860"/>
      <w:bookmarkStart w:id="182" w:name="_Toc26003"/>
      <w:bookmarkStart w:id="183" w:name="_Toc10395"/>
      <w:bookmarkStart w:id="184" w:name="_Toc28628"/>
      <w:bookmarkStart w:id="185" w:name="_Toc22660"/>
      <w:bookmarkStart w:id="186" w:name="_Toc8647"/>
      <w:bookmarkStart w:id="187" w:name="_Toc1344"/>
      <w:bookmarkStart w:id="188" w:name="_Toc14895"/>
      <w:r>
        <w:rPr>
          <w:rFonts w:hint="eastAsia"/>
          <w:lang w:val="en-US" w:eastAsia="zh-CN"/>
        </w:rPr>
        <w:t>六、全面优化数字和人文环境</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Start w:id="189" w:name="_Hlk204069845"/>
    </w:p>
    <w:p w14:paraId="321AD7AC">
      <w:pPr>
        <w:pStyle w:val="3"/>
        <w:bidi w:val="0"/>
        <w:rPr>
          <w:rFonts w:hint="eastAsia"/>
          <w:lang w:val="en-US" w:eastAsia="zh-CN"/>
        </w:rPr>
      </w:pPr>
      <w:bookmarkStart w:id="190" w:name="_Toc14000"/>
      <w:bookmarkStart w:id="191" w:name="_Toc27158"/>
      <w:bookmarkStart w:id="192" w:name="_Toc23056"/>
      <w:bookmarkStart w:id="193" w:name="_Toc7810"/>
      <w:bookmarkStart w:id="194" w:name="_Toc4483"/>
      <w:bookmarkStart w:id="195" w:name="_Toc15327"/>
      <w:bookmarkStart w:id="196" w:name="_Toc19472"/>
      <w:bookmarkStart w:id="197" w:name="_Toc3633"/>
      <w:bookmarkStart w:id="198" w:name="_Toc28082"/>
      <w:r>
        <w:rPr>
          <w:rFonts w:hint="eastAsia"/>
          <w:lang w:val="en-US" w:eastAsia="zh-CN"/>
        </w:rPr>
        <w:t>（一）推动数字社会建设</w:t>
      </w:r>
      <w:bookmarkEnd w:id="190"/>
      <w:bookmarkEnd w:id="191"/>
      <w:bookmarkEnd w:id="192"/>
      <w:bookmarkEnd w:id="193"/>
      <w:bookmarkEnd w:id="194"/>
      <w:bookmarkEnd w:id="195"/>
      <w:bookmarkEnd w:id="196"/>
      <w:bookmarkEnd w:id="197"/>
      <w:bookmarkEnd w:id="198"/>
    </w:p>
    <w:p w14:paraId="50898FA8">
      <w:pPr>
        <w:pStyle w:val="8"/>
        <w:pageBreakBefore w:val="0"/>
        <w:kinsoku/>
        <w:wordWrap/>
        <w:autoSpaceDE/>
        <w:autoSpaceDN/>
        <w:bidi w:val="0"/>
        <w:spacing w:line="560" w:lineRule="exact"/>
        <w:rPr>
          <w:rFonts w:hint="eastAsia"/>
          <w:highlight w:val="none"/>
          <w:lang w:val="en-US" w:eastAsia="zh-CN"/>
        </w:rPr>
      </w:pPr>
      <w:r>
        <w:rPr>
          <w:rFonts w:hint="eastAsia"/>
          <w:b/>
          <w:bCs/>
          <w:highlight w:val="none"/>
          <w:shd w:val="clear" w:color="auto" w:fill="auto"/>
          <w:lang w:val="en-US" w:eastAsia="zh-CN"/>
        </w:rPr>
        <w:t>激发数据要素活力。</w:t>
      </w:r>
      <w:r>
        <w:rPr>
          <w:rFonts w:hint="eastAsia"/>
          <w:highlight w:val="none"/>
          <w:shd w:val="clear" w:color="auto" w:fill="auto"/>
          <w:lang w:val="en-US" w:eastAsia="zh-CN"/>
        </w:rPr>
        <w:t>汇聚科教、产业、城市运行等高价值公共数据，支持区内高校及企业开展数据安全、隐私计算等前沿共性技术研发</w:t>
      </w:r>
      <w:r>
        <w:rPr>
          <w:rStyle w:val="31"/>
          <w:rFonts w:hint="eastAsia"/>
          <w:highlight w:val="none"/>
          <w:shd w:val="clear" w:color="auto" w:fill="auto"/>
          <w:lang w:val="en-US" w:eastAsia="zh-CN"/>
        </w:rPr>
        <w:footnoteReference w:id="28"/>
      </w:r>
      <w:r>
        <w:rPr>
          <w:rFonts w:hint="eastAsia"/>
          <w:highlight w:val="none"/>
          <w:shd w:val="clear" w:color="auto" w:fill="auto"/>
          <w:lang w:val="en-US" w:eastAsia="zh-CN"/>
        </w:rPr>
        <w:t>。</w:t>
      </w:r>
    </w:p>
    <w:p w14:paraId="5F47DCE8">
      <w:pPr>
        <w:pStyle w:val="8"/>
        <w:pageBreakBefore w:val="0"/>
        <w:kinsoku/>
        <w:wordWrap/>
        <w:autoSpaceDE/>
        <w:autoSpaceDN/>
        <w:bidi w:val="0"/>
        <w:spacing w:line="560" w:lineRule="exact"/>
        <w:ind w:firstLine="640"/>
        <w:rPr>
          <w:rFonts w:hint="eastAsia"/>
          <w:color w:val="auto"/>
          <w:highlight w:val="none"/>
          <w:shd w:val="clear" w:color="auto" w:fill="auto"/>
          <w:lang w:val="en-US" w:eastAsia="zh-CN"/>
        </w:rPr>
      </w:pPr>
      <w:r>
        <w:rPr>
          <w:rFonts w:hint="eastAsia"/>
          <w:b/>
          <w:bCs/>
          <w:color w:val="auto"/>
          <w:highlight w:val="none"/>
          <w:shd w:val="clear" w:color="auto" w:fill="auto"/>
          <w:lang w:val="en-US" w:eastAsia="zh-CN"/>
        </w:rPr>
        <w:t>探索重点领域数字化应用。</w:t>
      </w:r>
      <w:r>
        <w:rPr>
          <w:rFonts w:hint="eastAsia"/>
          <w:b w:val="0"/>
          <w:bCs w:val="0"/>
          <w:color w:val="auto"/>
          <w:highlight w:val="none"/>
          <w:shd w:val="clear" w:color="auto" w:fill="auto"/>
          <w:lang w:val="en-US" w:eastAsia="zh-CN"/>
        </w:rPr>
        <w:t>鼓励医疗机构与科技企业深度合作，引入智能化分析手段，创新更精准高效的医疗诊断辅助手段，打造医疗卫生强基工程</w:t>
      </w:r>
      <w:r>
        <w:rPr>
          <w:rStyle w:val="31"/>
          <w:rFonts w:hint="eastAsia"/>
          <w:color w:val="auto"/>
          <w:highlight w:val="none"/>
          <w:shd w:val="clear" w:color="auto" w:fill="auto"/>
          <w:lang w:val="en-US" w:eastAsia="zh-CN"/>
        </w:rPr>
        <w:footnoteReference w:id="29"/>
      </w:r>
      <w:r>
        <w:rPr>
          <w:rFonts w:hint="eastAsia"/>
          <w:color w:val="auto"/>
          <w:highlight w:val="none"/>
          <w:shd w:val="clear" w:color="auto" w:fill="auto"/>
          <w:lang w:val="en-US" w:eastAsia="zh-CN"/>
        </w:rPr>
        <w:t>。推进人工智能试点学校建设，打造智慧教学、智慧体育场景，组建教研共同体，落地基础教育AI大模型示范应用。</w:t>
      </w:r>
    </w:p>
    <w:bookmarkEnd w:id="189"/>
    <w:p w14:paraId="5AAE2EDA">
      <w:pPr>
        <w:pStyle w:val="3"/>
        <w:bidi w:val="0"/>
        <w:rPr>
          <w:rFonts w:hint="eastAsia"/>
        </w:rPr>
      </w:pPr>
      <w:bookmarkStart w:id="199" w:name="_Toc5029"/>
      <w:bookmarkStart w:id="200" w:name="_Toc4078"/>
      <w:bookmarkStart w:id="201" w:name="_Toc17291"/>
      <w:bookmarkStart w:id="202" w:name="_Toc19052"/>
      <w:bookmarkStart w:id="203" w:name="_Toc7392"/>
      <w:bookmarkStart w:id="204" w:name="_Toc13196"/>
      <w:bookmarkStart w:id="205" w:name="_Toc30026"/>
      <w:bookmarkStart w:id="206" w:name="_Toc15513"/>
      <w:bookmarkStart w:id="207" w:name="_Toc24474"/>
      <w:r>
        <w:rPr>
          <w:rFonts w:hint="eastAsia"/>
          <w:lang w:val="en-US" w:eastAsia="zh-CN"/>
        </w:rPr>
        <w:t>（二）优化基本</w:t>
      </w:r>
      <w:r>
        <w:rPr>
          <w:rFonts w:hint="eastAsia"/>
        </w:rPr>
        <w:t>公共服务</w:t>
      </w:r>
      <w:r>
        <w:rPr>
          <w:rFonts w:hint="eastAsia"/>
          <w:lang w:val="en-US" w:eastAsia="zh-CN"/>
        </w:rPr>
        <w:t>供给</w:t>
      </w:r>
      <w:bookmarkEnd w:id="199"/>
      <w:bookmarkEnd w:id="200"/>
      <w:bookmarkEnd w:id="201"/>
      <w:bookmarkEnd w:id="202"/>
      <w:bookmarkEnd w:id="203"/>
      <w:bookmarkEnd w:id="204"/>
      <w:bookmarkEnd w:id="205"/>
      <w:bookmarkEnd w:id="206"/>
      <w:bookmarkEnd w:id="207"/>
    </w:p>
    <w:p w14:paraId="42C79A7C">
      <w:pPr>
        <w:pStyle w:val="8"/>
        <w:pageBreakBefore w:val="0"/>
        <w:kinsoku/>
        <w:wordWrap/>
        <w:autoSpaceDE/>
        <w:autoSpaceDN/>
        <w:bidi w:val="0"/>
        <w:spacing w:line="560" w:lineRule="exact"/>
        <w:ind w:firstLine="643"/>
        <w:rPr>
          <w:rFonts w:hint="eastAsia"/>
          <w:highlight w:val="none"/>
          <w:shd w:val="clear" w:color="auto" w:fill="auto"/>
        </w:rPr>
      </w:pPr>
      <w:r>
        <w:rPr>
          <w:rFonts w:hint="eastAsia"/>
          <w:b/>
          <w:bCs/>
          <w:color w:val="auto"/>
          <w:highlight w:val="none"/>
          <w:shd w:val="clear" w:color="auto" w:fill="auto"/>
          <w:lang w:val="en-US" w:eastAsia="zh-CN"/>
        </w:rPr>
        <w:t>完善</w:t>
      </w:r>
      <w:r>
        <w:rPr>
          <w:rFonts w:hint="eastAsia"/>
          <w:b/>
          <w:bCs/>
          <w:color w:val="auto"/>
          <w:highlight w:val="none"/>
          <w:shd w:val="clear" w:color="auto" w:fill="auto"/>
        </w:rPr>
        <w:t>人才安居</w:t>
      </w:r>
      <w:r>
        <w:rPr>
          <w:rFonts w:hint="eastAsia"/>
          <w:b/>
          <w:bCs/>
          <w:color w:val="auto"/>
          <w:highlight w:val="none"/>
          <w:shd w:val="clear" w:color="auto" w:fill="auto"/>
          <w:lang w:val="en-US" w:eastAsia="zh-CN"/>
        </w:rPr>
        <w:t>体系</w:t>
      </w:r>
      <w:r>
        <w:rPr>
          <w:rFonts w:hint="eastAsia"/>
          <w:b/>
          <w:bCs/>
          <w:color w:val="auto"/>
          <w:highlight w:val="none"/>
          <w:shd w:val="clear" w:color="auto" w:fill="auto"/>
        </w:rPr>
        <w:t>。</w:t>
      </w:r>
      <w:r>
        <w:rPr>
          <w:rFonts w:hint="eastAsia"/>
          <w:b w:val="0"/>
          <w:bCs w:val="0"/>
          <w:color w:val="auto"/>
          <w:highlight w:val="none"/>
          <w:shd w:val="clear" w:color="auto" w:fill="auto"/>
        </w:rPr>
        <w:t>多渠道新建、配建、盘活转化房源，持续扩充保租房、公租房供给，保障区内住房困难青年务工人员、外来务工人员及本地中低收入家庭住房需求。</w:t>
      </w:r>
    </w:p>
    <w:p w14:paraId="4D5223CE">
      <w:pPr>
        <w:pageBreakBefore w:val="0"/>
        <w:kinsoku/>
        <w:wordWrap/>
        <w:autoSpaceDE/>
        <w:autoSpaceDN/>
        <w:bidi w:val="0"/>
        <w:adjustRightInd w:val="0"/>
        <w:spacing w:line="560" w:lineRule="exact"/>
        <w:ind w:firstLine="640"/>
        <w:rPr>
          <w:rFonts w:hint="eastAsia"/>
          <w:color w:val="auto"/>
          <w:highlight w:val="none"/>
          <w:shd w:val="clear" w:color="auto" w:fill="auto"/>
        </w:rPr>
      </w:pPr>
      <w:r>
        <w:rPr>
          <w:rFonts w:hint="eastAsia" w:ascii="仿宋_GB2312" w:hAnsi="仿宋_GB2312" w:eastAsia="仿宋_GB2312" w:cs="仿宋_GB2312"/>
          <w:b/>
          <w:bCs/>
          <w:color w:val="auto"/>
          <w:highlight w:val="none"/>
          <w:shd w:val="clear" w:color="auto" w:fill="auto"/>
        </w:rPr>
        <w:t>推进医疗基础设施建设</w:t>
      </w:r>
      <w:r>
        <w:rPr>
          <w:rFonts w:hint="eastAsia" w:cs="仿宋_GB2312"/>
          <w:b/>
          <w:bCs/>
          <w:color w:val="auto"/>
          <w:highlight w:val="none"/>
          <w:shd w:val="clear" w:color="auto" w:fill="auto"/>
          <w:lang w:eastAsia="zh-CN"/>
        </w:rPr>
        <w:t>。</w:t>
      </w:r>
      <w:r>
        <w:rPr>
          <w:rFonts w:hint="eastAsia"/>
          <w:color w:val="auto"/>
          <w:highlight w:val="none"/>
          <w:shd w:val="clear" w:color="auto" w:fill="auto"/>
          <w:lang w:val="en-US" w:eastAsia="zh-CN"/>
        </w:rPr>
        <w:t>引入积水潭医院等优质资源，加快未来科学城国际医院建设。优化区域医联体和分级诊疗体系，推进电子病历共享、检验结果互认。</w:t>
      </w:r>
    </w:p>
    <w:p w14:paraId="27C83FC1">
      <w:pPr>
        <w:pStyle w:val="8"/>
        <w:pageBreakBefore w:val="0"/>
        <w:kinsoku/>
        <w:wordWrap/>
        <w:autoSpaceDE/>
        <w:autoSpaceDN/>
        <w:bidi w:val="0"/>
        <w:spacing w:line="560" w:lineRule="exact"/>
        <w:ind w:firstLine="643"/>
        <w:rPr>
          <w:rFonts w:hint="eastAsia"/>
          <w:color w:val="auto"/>
          <w:highlight w:val="none"/>
          <w:shd w:val="clear" w:color="auto" w:fill="auto"/>
          <w:lang w:val="en-US" w:eastAsia="zh-CN"/>
        </w:rPr>
      </w:pPr>
      <w:r>
        <w:rPr>
          <w:rFonts w:hint="eastAsia"/>
          <w:b/>
          <w:bCs/>
          <w:highlight w:val="none"/>
          <w:shd w:val="clear" w:color="auto" w:fill="auto"/>
          <w:lang w:val="en-US" w:eastAsia="zh-CN"/>
        </w:rPr>
        <w:t>升级建设一刻钟高品质生活圈</w:t>
      </w:r>
      <w:r>
        <w:rPr>
          <w:rFonts w:hint="eastAsia"/>
          <w:b/>
          <w:bCs/>
          <w:color w:val="auto"/>
          <w:highlight w:val="none"/>
          <w:shd w:val="clear" w:color="auto" w:fill="auto"/>
        </w:rPr>
        <w:t>。</w:t>
      </w:r>
      <w:r>
        <w:rPr>
          <w:rFonts w:hint="eastAsia"/>
          <w:color w:val="auto"/>
          <w:highlight w:val="none"/>
          <w:shd w:val="clear" w:color="auto" w:fill="auto"/>
          <w:lang w:val="en-US" w:eastAsia="zh-CN"/>
        </w:rPr>
        <w:t>加快家政服务网点布局，实现便民服务全域覆盖。完善社区食堂、婴幼儿托育、社区康养服务体系，叠加文化体验、运动休闲功能，打造集生活、社交、娱乐于一体的复合型社区空间。升级“文化小街”运营模式，推动文化业态与街区发展深度融合。</w:t>
      </w:r>
    </w:p>
    <w:p w14:paraId="225A2192">
      <w:pPr>
        <w:pStyle w:val="3"/>
        <w:bidi w:val="0"/>
        <w:rPr>
          <w:rFonts w:hint="default"/>
          <w:lang w:val="en-US" w:eastAsia="zh-CN"/>
        </w:rPr>
      </w:pPr>
      <w:bookmarkStart w:id="208" w:name="_Toc11298"/>
      <w:bookmarkStart w:id="209" w:name="_Toc12673"/>
      <w:bookmarkStart w:id="210" w:name="_Toc29229"/>
      <w:bookmarkStart w:id="211" w:name="_Toc31729"/>
      <w:bookmarkStart w:id="212" w:name="_Toc17987"/>
      <w:bookmarkStart w:id="213" w:name="_Toc9079"/>
      <w:bookmarkStart w:id="214" w:name="_Toc1883"/>
      <w:bookmarkStart w:id="215" w:name="_Toc16807"/>
      <w:bookmarkStart w:id="216" w:name="_Toc32457"/>
      <w:r>
        <w:rPr>
          <w:rFonts w:hint="eastAsia"/>
          <w:lang w:val="en-US" w:eastAsia="zh-CN"/>
        </w:rPr>
        <w:t>（三）升级特色公共服务效能</w:t>
      </w:r>
      <w:bookmarkEnd w:id="208"/>
      <w:bookmarkEnd w:id="209"/>
      <w:bookmarkEnd w:id="210"/>
      <w:bookmarkEnd w:id="211"/>
      <w:bookmarkEnd w:id="212"/>
      <w:bookmarkEnd w:id="213"/>
      <w:bookmarkEnd w:id="214"/>
      <w:bookmarkEnd w:id="215"/>
      <w:bookmarkEnd w:id="216"/>
    </w:p>
    <w:p w14:paraId="09EAF87D">
      <w:pPr>
        <w:pStyle w:val="8"/>
        <w:pageBreakBefore w:val="0"/>
        <w:kinsoku/>
        <w:wordWrap/>
        <w:autoSpaceDE/>
        <w:autoSpaceDN/>
        <w:bidi w:val="0"/>
        <w:spacing w:line="560" w:lineRule="exact"/>
        <w:ind w:firstLine="643" w:firstLineChars="0"/>
        <w:rPr>
          <w:rFonts w:hint="eastAsia"/>
          <w:color w:val="auto"/>
          <w:highlight w:val="none"/>
          <w:shd w:val="clear" w:color="auto" w:fill="auto"/>
          <w:lang w:eastAsia="zh-CN"/>
        </w:rPr>
      </w:pPr>
      <w:r>
        <w:rPr>
          <w:rFonts w:hint="eastAsia"/>
          <w:b/>
          <w:bCs/>
          <w:color w:val="auto"/>
          <w:highlight w:val="none"/>
          <w:shd w:val="clear" w:color="auto" w:fill="auto"/>
        </w:rPr>
        <w:t>均衡教育资源</w:t>
      </w:r>
      <w:r>
        <w:rPr>
          <w:rFonts w:hint="eastAsia"/>
          <w:b/>
          <w:bCs/>
          <w:color w:val="auto"/>
          <w:highlight w:val="none"/>
          <w:shd w:val="clear" w:color="auto" w:fill="auto"/>
          <w:lang w:val="en-US" w:eastAsia="zh-CN"/>
        </w:rPr>
        <w:t>配置</w:t>
      </w:r>
      <w:r>
        <w:rPr>
          <w:rFonts w:hint="eastAsia"/>
          <w:b/>
          <w:bCs/>
          <w:color w:val="auto"/>
          <w:highlight w:val="none"/>
          <w:shd w:val="clear" w:color="auto" w:fill="auto"/>
        </w:rPr>
        <w:t>。</w:t>
      </w:r>
      <w:r>
        <w:rPr>
          <w:rFonts w:hint="eastAsia"/>
          <w:color w:val="auto"/>
          <w:highlight w:val="none"/>
          <w:shd w:val="clear" w:color="auto" w:fill="auto"/>
        </w:rPr>
        <w:t>持续推进学前教育普及普惠发展，进一步扩充公办园学位占比，将公办率与普惠率保持在合理水平。</w:t>
      </w:r>
      <w:r>
        <w:rPr>
          <w:rFonts w:hint="eastAsia"/>
          <w:color w:val="auto"/>
          <w:highlight w:val="none"/>
          <w:shd w:val="clear" w:color="auto" w:fill="auto"/>
          <w:lang w:val="en-US" w:eastAsia="zh-CN"/>
        </w:rPr>
        <w:t>推动乡镇、回天地区学校与城区学校结对共建。</w:t>
      </w:r>
      <w:r>
        <w:rPr>
          <w:rFonts w:hint="eastAsia"/>
          <w:color w:val="auto"/>
          <w:highlight w:val="none"/>
          <w:shd w:val="clear" w:color="auto" w:fill="auto"/>
        </w:rPr>
        <w:t>聚焦科技创新走廊、未来科学城、回天地区、生态涵养区四类功能分区特点，</w:t>
      </w:r>
      <w:r>
        <w:rPr>
          <w:rFonts w:hint="eastAsia"/>
          <w:color w:val="auto"/>
          <w:highlight w:val="none"/>
          <w:shd w:val="clear" w:color="auto" w:fill="auto"/>
          <w:lang w:val="en-US" w:eastAsia="zh-CN"/>
        </w:rPr>
        <w:t>梯度优化区域教育资源配置。</w:t>
      </w:r>
    </w:p>
    <w:p w14:paraId="37DE78AD">
      <w:pPr>
        <w:pStyle w:val="8"/>
        <w:pageBreakBefore w:val="0"/>
        <w:kinsoku/>
        <w:wordWrap/>
        <w:autoSpaceDE/>
        <w:autoSpaceDN/>
        <w:bidi w:val="0"/>
        <w:spacing w:line="560" w:lineRule="exact"/>
        <w:ind w:firstLine="643" w:firstLineChars="0"/>
        <w:rPr>
          <w:rFonts w:hint="eastAsia"/>
          <w:b w:val="0"/>
          <w:bCs w:val="0"/>
          <w:color w:val="auto"/>
          <w:highlight w:val="none"/>
          <w:shd w:val="clear" w:color="auto" w:fill="auto"/>
          <w:lang w:val="en-US" w:eastAsia="zh-CN"/>
        </w:rPr>
      </w:pPr>
      <w:r>
        <w:rPr>
          <w:rFonts w:hint="eastAsia"/>
          <w:b/>
          <w:bCs/>
          <w:color w:val="auto"/>
          <w:highlight w:val="none"/>
          <w:shd w:val="clear" w:color="auto" w:fill="auto"/>
          <w:lang w:val="en-US" w:eastAsia="zh-CN"/>
        </w:rPr>
        <w:t>打造青年友好型城区。</w:t>
      </w:r>
      <w:r>
        <w:rPr>
          <w:rFonts w:hint="eastAsia"/>
          <w:b w:val="0"/>
          <w:bCs w:val="0"/>
          <w:color w:val="auto"/>
          <w:highlight w:val="none"/>
          <w:shd w:val="clear" w:color="auto" w:fill="auto"/>
          <w:lang w:val="en-US" w:eastAsia="zh-CN"/>
        </w:rPr>
        <w:t>在未来科学城生命谷、能源谷、沙河高教园、昌平新城、天通苑、朱辛庄6个区域，试点建设青年友好社区，统筹青年安居与品质生活。依托区域科研院所、高端人才、高校集群及校城融合优势，在未来科学城生命谷、能源谷、沙河高教园三大核心片区打造青年人才“创未来”生态街区，并在清华南口国重基地、北大马池口产教融合创新中心、回龙观、天通苑、小汤山、松园社区、小米未来产业园区七大区域探索试点推广。采用“部门+园区+平台公司”实体化运营模式，常态化开展创新创业、投融资对接、文体文旅活动，配套党群、政务、校友、生活服务，构建全方位、全链条的青年创新创业宜居生态圈。</w:t>
      </w:r>
    </w:p>
    <w:p w14:paraId="3FD6120A">
      <w:pPr>
        <w:pStyle w:val="8"/>
        <w:pageBreakBefore w:val="0"/>
        <w:kinsoku/>
        <w:wordWrap/>
        <w:autoSpaceDE/>
        <w:autoSpaceDN/>
        <w:bidi w:val="0"/>
        <w:spacing w:line="560" w:lineRule="exact"/>
        <w:ind w:firstLine="643"/>
        <w:rPr>
          <w:rFonts w:hint="eastAsia"/>
          <w:b w:val="0"/>
          <w:bCs w:val="0"/>
          <w:color w:val="auto"/>
          <w:highlight w:val="none"/>
          <w:shd w:val="clear" w:color="auto" w:fill="auto"/>
        </w:rPr>
      </w:pPr>
      <w:r>
        <w:rPr>
          <w:rFonts w:hint="eastAsia"/>
          <w:b/>
          <w:bCs/>
          <w:color w:val="auto"/>
          <w:highlight w:val="none"/>
          <w:shd w:val="clear" w:color="auto" w:fill="auto"/>
          <w:lang w:val="en-US" w:eastAsia="zh-CN"/>
        </w:rPr>
        <w:t>健全</w:t>
      </w:r>
      <w:r>
        <w:rPr>
          <w:rFonts w:hint="eastAsia"/>
          <w:b/>
          <w:bCs/>
          <w:color w:val="auto"/>
          <w:highlight w:val="none"/>
          <w:shd w:val="clear" w:color="auto" w:fill="auto"/>
        </w:rPr>
        <w:t>养老服务保障体系。</w:t>
      </w:r>
      <w:r>
        <w:rPr>
          <w:rFonts w:hint="eastAsia"/>
          <w:b w:val="0"/>
          <w:bCs w:val="0"/>
          <w:color w:val="auto"/>
          <w:highlight w:val="none"/>
          <w:shd w:val="clear" w:color="auto" w:fill="auto"/>
          <w:lang w:val="en-US" w:eastAsia="zh-CN"/>
        </w:rPr>
        <w:t>聚焦居家社区养老提质，推动养老资源下沉，推进适老化改造与智慧养老升级。搭建居家养老供需对接平台，精准摸排老年群体需求，提供个性化定制养老服务。</w:t>
      </w:r>
    </w:p>
    <w:p w14:paraId="2E4D9E7C">
      <w:pPr>
        <w:pStyle w:val="8"/>
        <w:pageBreakBefore w:val="0"/>
        <w:kinsoku/>
        <w:wordWrap/>
        <w:autoSpaceDE/>
        <w:autoSpaceDN/>
        <w:bidi w:val="0"/>
        <w:spacing w:line="560" w:lineRule="exact"/>
        <w:ind w:firstLine="643"/>
        <w:rPr>
          <w:rFonts w:hint="eastAsia"/>
          <w:highlight w:val="none"/>
        </w:rPr>
      </w:pPr>
      <w:r>
        <w:rPr>
          <w:rFonts w:hint="eastAsia" w:eastAsia="仿宋_GB2312"/>
          <w:b/>
          <w:bCs/>
          <w:color w:val="auto"/>
          <w:highlight w:val="none"/>
          <w:shd w:val="clear" w:color="auto" w:fill="auto"/>
          <w:lang w:eastAsia="zh-CN"/>
        </w:rPr>
        <w:t>构建绿色休闲游憩活力圈</w:t>
      </w:r>
      <w:r>
        <w:rPr>
          <w:rFonts w:hint="eastAsia"/>
          <w:b/>
          <w:bCs/>
          <w:color w:val="auto"/>
          <w:highlight w:val="none"/>
          <w:shd w:val="clear" w:color="auto" w:fill="auto"/>
          <w:lang w:eastAsia="zh-CN"/>
        </w:rPr>
        <w:t>。</w:t>
      </w:r>
      <w:r>
        <w:rPr>
          <w:rFonts w:hint="eastAsia" w:eastAsia="仿宋_GB2312"/>
          <w:b w:val="0"/>
          <w:bCs w:val="0"/>
          <w:color w:val="auto"/>
          <w:highlight w:val="none"/>
          <w:shd w:val="clear" w:color="auto" w:fill="auto"/>
          <w:lang w:eastAsia="zh-CN"/>
        </w:rPr>
        <w:t>构建可观赏、可参与、可休憩的绿色游憩体系，试点建设一刻钟花园生活圈。统筹附属绿地、地块退线空间，提升街道整体风貌。</w:t>
      </w:r>
      <w:r>
        <w:rPr>
          <w:rFonts w:hint="eastAsia"/>
          <w:b w:val="0"/>
          <w:bCs w:val="0"/>
          <w:color w:val="auto"/>
          <w:highlight w:val="none"/>
          <w:shd w:val="clear" w:color="auto" w:fill="auto"/>
          <w:lang w:val="en-US" w:eastAsia="zh-CN"/>
        </w:rPr>
        <w:t>鼓励</w:t>
      </w:r>
      <w:r>
        <w:rPr>
          <w:rFonts w:hint="eastAsia" w:eastAsia="仿宋_GB2312"/>
          <w:b w:val="0"/>
          <w:bCs w:val="0"/>
          <w:color w:val="auto"/>
          <w:highlight w:val="none"/>
          <w:shd w:val="clear" w:color="auto" w:fill="auto"/>
          <w:lang w:eastAsia="zh-CN"/>
        </w:rPr>
        <w:t>商业</w:t>
      </w:r>
      <w:r>
        <w:rPr>
          <w:rFonts w:hint="eastAsia"/>
          <w:b w:val="0"/>
          <w:bCs w:val="0"/>
          <w:color w:val="auto"/>
          <w:highlight w:val="none"/>
          <w:shd w:val="clear" w:color="auto" w:fill="auto"/>
          <w:lang w:val="en-US" w:eastAsia="zh-CN"/>
        </w:rPr>
        <w:t>地块</w:t>
      </w:r>
      <w:r>
        <w:rPr>
          <w:rFonts w:hint="eastAsia" w:eastAsia="仿宋_GB2312"/>
          <w:b w:val="0"/>
          <w:bCs w:val="0"/>
          <w:color w:val="auto"/>
          <w:highlight w:val="none"/>
          <w:shd w:val="clear" w:color="auto" w:fill="auto"/>
          <w:lang w:eastAsia="zh-CN"/>
        </w:rPr>
        <w:t>、公共文体设施、办公</w:t>
      </w:r>
      <w:r>
        <w:rPr>
          <w:rFonts w:hint="eastAsia"/>
          <w:b w:val="0"/>
          <w:bCs w:val="0"/>
          <w:color w:val="auto"/>
          <w:highlight w:val="none"/>
          <w:shd w:val="clear" w:color="auto" w:fill="auto"/>
          <w:lang w:val="en-US" w:eastAsia="zh-CN"/>
        </w:rPr>
        <w:t>建筑</w:t>
      </w:r>
      <w:r>
        <w:rPr>
          <w:rFonts w:hint="eastAsia" w:eastAsia="仿宋_GB2312"/>
          <w:b w:val="0"/>
          <w:bCs w:val="0"/>
          <w:color w:val="auto"/>
          <w:highlight w:val="none"/>
          <w:shd w:val="clear" w:color="auto" w:fill="auto"/>
          <w:lang w:eastAsia="zh-CN"/>
        </w:rPr>
        <w:t>开放临街绿地与休闲空间，有序开放高校大院，提高公共空间共享水平。</w:t>
      </w:r>
    </w:p>
    <w:p w14:paraId="0F14813D">
      <w:pPr>
        <w:pStyle w:val="3"/>
        <w:bidi w:val="0"/>
        <w:rPr>
          <w:rFonts w:hint="eastAsia"/>
        </w:rPr>
      </w:pPr>
      <w:bookmarkStart w:id="217" w:name="_Toc23049"/>
      <w:bookmarkStart w:id="218" w:name="_Toc18778"/>
      <w:bookmarkStart w:id="219" w:name="_Toc5466"/>
      <w:bookmarkStart w:id="220" w:name="_Toc10840"/>
      <w:bookmarkStart w:id="221" w:name="_Toc15779"/>
      <w:bookmarkStart w:id="222" w:name="_Toc14363"/>
      <w:bookmarkStart w:id="223" w:name="_Toc32605"/>
      <w:bookmarkStart w:id="224" w:name="_Toc16740"/>
      <w:bookmarkStart w:id="225" w:name="_Toc1978"/>
      <w:r>
        <w:rPr>
          <w:rFonts w:hint="eastAsia"/>
          <w:lang w:val="en-US" w:eastAsia="zh-CN"/>
        </w:rPr>
        <w:t>（四）创新</w:t>
      </w:r>
      <w:r>
        <w:t>文旅服务体验</w:t>
      </w:r>
      <w:bookmarkEnd w:id="217"/>
      <w:bookmarkEnd w:id="218"/>
      <w:bookmarkEnd w:id="219"/>
      <w:bookmarkEnd w:id="220"/>
      <w:bookmarkEnd w:id="221"/>
      <w:bookmarkEnd w:id="222"/>
      <w:bookmarkEnd w:id="223"/>
      <w:bookmarkEnd w:id="224"/>
      <w:bookmarkEnd w:id="225"/>
    </w:p>
    <w:p w14:paraId="2F6BFE4C">
      <w:pPr>
        <w:pageBreakBefore w:val="0"/>
        <w:kinsoku/>
        <w:wordWrap/>
        <w:autoSpaceDE/>
        <w:autoSpaceDN/>
        <w:bidi w:val="0"/>
        <w:spacing w:line="560" w:lineRule="exact"/>
        <w:ind w:firstLine="643"/>
        <w:rPr>
          <w:rFonts w:hint="eastAsia" w:eastAsia="仿宋_GB2312"/>
          <w:color w:val="auto"/>
          <w:highlight w:val="none"/>
          <w:shd w:val="clear" w:color="auto" w:fill="auto"/>
          <w:lang w:eastAsia="zh-CN"/>
        </w:rPr>
      </w:pPr>
      <w:bookmarkStart w:id="226" w:name="_Hlk204069840"/>
      <w:r>
        <w:rPr>
          <w:rFonts w:hint="eastAsia"/>
          <w:b/>
          <w:color w:val="auto"/>
          <w:highlight w:val="none"/>
          <w:shd w:val="clear" w:color="auto" w:fill="auto"/>
        </w:rPr>
        <w:t>促进文化科技融合</w:t>
      </w:r>
      <w:bookmarkEnd w:id="226"/>
      <w:r>
        <w:rPr>
          <w:rFonts w:hint="eastAsia"/>
          <w:b/>
          <w:color w:val="auto"/>
          <w:highlight w:val="none"/>
          <w:shd w:val="clear" w:color="auto" w:fill="auto"/>
        </w:rPr>
        <w:t>。</w:t>
      </w:r>
      <w:r>
        <w:rPr>
          <w:color w:val="auto"/>
          <w:highlight w:val="none"/>
          <w:shd w:val="clear" w:color="auto" w:fill="auto"/>
        </w:rPr>
        <w:t>充分释放三条文化带</w:t>
      </w:r>
      <w:bookmarkStart w:id="227" w:name="_Hlk204069874"/>
      <w:r>
        <w:rPr>
          <w:color w:val="auto"/>
          <w:highlight w:val="none"/>
          <w:shd w:val="clear" w:color="auto" w:fill="auto"/>
        </w:rPr>
        <w:t>发展优势</w:t>
      </w:r>
      <w:bookmarkEnd w:id="227"/>
      <w:r>
        <w:rPr>
          <w:color w:val="auto"/>
          <w:highlight w:val="none"/>
          <w:shd w:val="clear" w:color="auto" w:fill="auto"/>
        </w:rPr>
        <w:t>，</w:t>
      </w:r>
      <w:bookmarkStart w:id="228" w:name="_Hlk204069759"/>
      <w:r>
        <w:rPr>
          <w:rFonts w:hint="eastAsia"/>
          <w:color w:val="auto"/>
          <w:highlight w:val="none"/>
          <w:shd w:val="clear" w:color="auto" w:fill="auto"/>
        </w:rPr>
        <w:t>以“文化+科技”为重要抓手</w:t>
      </w:r>
      <w:bookmarkEnd w:id="228"/>
      <w:r>
        <w:rPr>
          <w:color w:val="auto"/>
          <w:highlight w:val="none"/>
          <w:shd w:val="clear" w:color="auto" w:fill="auto"/>
        </w:rPr>
        <w:t>，打造差异化服务体系</w:t>
      </w:r>
      <w:r>
        <w:rPr>
          <w:rStyle w:val="31"/>
          <w:rFonts w:hint="eastAsia"/>
          <w:color w:val="auto"/>
          <w:highlight w:val="none"/>
          <w:shd w:val="clear" w:color="auto" w:fill="auto"/>
        </w:rPr>
        <w:footnoteReference w:id="30"/>
      </w:r>
      <w:r>
        <w:rPr>
          <w:color w:val="auto"/>
          <w:highlight w:val="none"/>
          <w:shd w:val="clear" w:color="auto" w:fill="auto"/>
        </w:rPr>
        <w:t>。</w:t>
      </w:r>
      <w:r>
        <w:rPr>
          <w:rFonts w:hint="eastAsia"/>
          <w:color w:val="auto"/>
          <w:highlight w:val="none"/>
          <w:shd w:val="clear" w:color="auto" w:fill="auto"/>
        </w:rPr>
        <w:t>推进北京未来科学城文化科技交流中心项目，补齐未来科学城区域公共文化服务短板，打造集数字阅读、艺术展览、文化沙龙、文旅科创交流于一体的新型综合公共文化空间</w:t>
      </w:r>
      <w:r>
        <w:rPr>
          <w:rFonts w:hint="eastAsia"/>
          <w:color w:val="auto"/>
          <w:highlight w:val="none"/>
          <w:shd w:val="clear" w:color="auto" w:fill="auto"/>
          <w:lang w:eastAsia="zh-CN"/>
        </w:rPr>
        <w:t>。</w:t>
      </w:r>
    </w:p>
    <w:p w14:paraId="19D058FA">
      <w:pPr>
        <w:pageBreakBefore w:val="0"/>
        <w:kinsoku/>
        <w:wordWrap/>
        <w:autoSpaceDE/>
        <w:autoSpaceDN/>
        <w:bidi w:val="0"/>
        <w:spacing w:line="560" w:lineRule="exact"/>
        <w:ind w:firstLine="640" w:firstLineChars="200"/>
        <w:rPr>
          <w:rFonts w:hint="eastAsia"/>
          <w:highlight w:val="none"/>
          <w:lang w:eastAsia="zh-CN"/>
        </w:rPr>
      </w:pPr>
      <w:r>
        <w:rPr>
          <w:rFonts w:hint="default"/>
          <w:b/>
          <w:bCs/>
          <w:color w:val="auto"/>
          <w:highlight w:val="none"/>
          <w:shd w:val="clear" w:color="auto" w:fill="auto"/>
        </w:rPr>
        <w:t>拓展</w:t>
      </w:r>
      <w:r>
        <w:rPr>
          <w:rFonts w:hint="eastAsia"/>
          <w:b/>
          <w:bCs/>
          <w:color w:val="auto"/>
          <w:highlight w:val="none"/>
          <w:shd w:val="clear" w:color="auto" w:fill="auto"/>
          <w:lang w:val="en-US" w:eastAsia="zh-CN"/>
        </w:rPr>
        <w:t>文旅</w:t>
      </w:r>
      <w:r>
        <w:rPr>
          <w:rFonts w:hint="default"/>
          <w:b/>
          <w:bCs/>
          <w:color w:val="auto"/>
          <w:highlight w:val="none"/>
          <w:shd w:val="clear" w:color="auto" w:fill="auto"/>
        </w:rPr>
        <w:t>服务智能化应用场景。</w:t>
      </w:r>
      <w:r>
        <w:rPr>
          <w:rFonts w:hint="default"/>
          <w:color w:val="auto"/>
          <w:highlight w:val="none"/>
          <w:shd w:val="clear" w:color="auto" w:fill="auto"/>
        </w:rPr>
        <w:t>建强用好</w:t>
      </w:r>
      <w:r>
        <w:rPr>
          <w:rFonts w:hint="eastAsia" w:eastAsia="仿宋_GB2312"/>
          <w:color w:val="auto"/>
          <w:highlight w:val="none"/>
          <w:shd w:val="clear" w:color="auto" w:fill="auto"/>
          <w:lang w:eastAsia="zh-CN"/>
        </w:rPr>
        <w:t>“</w:t>
      </w:r>
      <w:r>
        <w:rPr>
          <w:rFonts w:hint="default"/>
          <w:color w:val="auto"/>
          <w:highlight w:val="none"/>
          <w:shd w:val="clear" w:color="auto" w:fill="auto"/>
        </w:rPr>
        <w:t>昌平文旅集团</w:t>
      </w:r>
      <w:r>
        <w:rPr>
          <w:rFonts w:hint="eastAsia" w:eastAsia="仿宋_GB2312"/>
          <w:color w:val="auto"/>
          <w:highlight w:val="none"/>
          <w:shd w:val="clear" w:color="auto" w:fill="auto"/>
          <w:lang w:eastAsia="zh-CN"/>
        </w:rPr>
        <w:t>”</w:t>
      </w:r>
      <w:r>
        <w:rPr>
          <w:rFonts w:hint="default"/>
          <w:color w:val="auto"/>
          <w:highlight w:val="none"/>
          <w:shd w:val="clear" w:color="auto" w:fill="auto"/>
        </w:rPr>
        <w:t>“周末昌平”小程序</w:t>
      </w:r>
      <w:r>
        <w:rPr>
          <w:rFonts w:hint="eastAsia"/>
          <w:color w:val="auto"/>
          <w:highlight w:val="none"/>
          <w:shd w:val="clear" w:color="auto" w:fill="auto"/>
          <w:lang w:val="en-US" w:eastAsia="zh-CN"/>
        </w:rPr>
        <w:t>及</w:t>
      </w:r>
      <w:r>
        <w:rPr>
          <w:rFonts w:hint="eastAsia" w:eastAsia="仿宋_GB2312"/>
          <w:color w:val="auto"/>
          <w:highlight w:val="none"/>
          <w:shd w:val="clear" w:color="auto" w:fill="auto"/>
          <w:lang w:eastAsia="zh-CN"/>
        </w:rPr>
        <w:t>“</w:t>
      </w:r>
      <w:r>
        <w:rPr>
          <w:rFonts w:hint="default"/>
          <w:color w:val="auto"/>
          <w:highlight w:val="none"/>
          <w:shd w:val="clear" w:color="auto" w:fill="auto"/>
        </w:rPr>
        <w:t>爱上昌平</w:t>
      </w:r>
      <w:r>
        <w:rPr>
          <w:rFonts w:hint="eastAsia" w:eastAsia="仿宋_GB2312"/>
          <w:color w:val="auto"/>
          <w:highlight w:val="none"/>
          <w:shd w:val="clear" w:color="auto" w:fill="auto"/>
          <w:lang w:eastAsia="zh-CN"/>
        </w:rPr>
        <w:t>”</w:t>
      </w:r>
      <w:r>
        <w:rPr>
          <w:rFonts w:hint="default"/>
          <w:color w:val="auto"/>
          <w:highlight w:val="none"/>
          <w:shd w:val="clear" w:color="auto" w:fill="auto"/>
        </w:rPr>
        <w:t>平台，增设</w:t>
      </w:r>
      <w:r>
        <w:rPr>
          <w:rFonts w:hint="eastAsia" w:eastAsia="仿宋_GB2312"/>
          <w:color w:val="auto"/>
          <w:highlight w:val="none"/>
          <w:shd w:val="clear" w:color="auto" w:fill="auto"/>
          <w:lang w:eastAsia="zh-CN"/>
        </w:rPr>
        <w:t>“</w:t>
      </w:r>
      <w:r>
        <w:rPr>
          <w:rFonts w:hint="default"/>
          <w:color w:val="auto"/>
          <w:highlight w:val="none"/>
          <w:shd w:val="clear" w:color="auto" w:fill="auto"/>
        </w:rPr>
        <w:t>文化菜单</w:t>
      </w:r>
      <w:r>
        <w:rPr>
          <w:rFonts w:hint="eastAsia" w:eastAsia="仿宋_GB2312"/>
          <w:color w:val="auto"/>
          <w:highlight w:val="none"/>
          <w:shd w:val="clear" w:color="auto" w:fill="auto"/>
          <w:lang w:eastAsia="zh-CN"/>
        </w:rPr>
        <w:t>”</w:t>
      </w:r>
      <w:r>
        <w:rPr>
          <w:rFonts w:hint="default"/>
          <w:color w:val="auto"/>
          <w:highlight w:val="none"/>
          <w:shd w:val="clear" w:color="auto" w:fill="auto"/>
        </w:rPr>
        <w:t>功能，推动公共文旅服务由数字化向智能化迈进。</w:t>
      </w:r>
      <w:r>
        <w:rPr>
          <w:rFonts w:hint="eastAsia"/>
          <w:highlight w:val="none"/>
          <w:lang w:eastAsia="zh-CN"/>
        </w:rPr>
        <w:t>探索建立“自下而上、以需定供”的菜单式服务机制，常态化开展群众性文化活动。</w:t>
      </w:r>
    </w:p>
    <w:p w14:paraId="181A526A">
      <w:pPr>
        <w:pStyle w:val="13"/>
        <w:pageBreakBefore w:val="0"/>
        <w:kinsoku/>
        <w:wordWrap/>
        <w:autoSpaceDE/>
        <w:autoSpaceDN/>
        <w:bidi w:val="0"/>
        <w:spacing w:line="560" w:lineRule="exact"/>
        <w:ind w:firstLine="640"/>
        <w:rPr>
          <w:rFonts w:hint="default"/>
          <w:highlight w:val="none"/>
          <w:lang w:eastAsia="zh-CN"/>
        </w:rPr>
      </w:pPr>
      <w:r>
        <w:rPr>
          <w:rFonts w:hint="eastAsia"/>
          <w:b/>
          <w:color w:val="auto"/>
          <w:highlight w:val="none"/>
          <w:shd w:val="clear" w:color="auto" w:fill="auto"/>
          <w:lang w:val="en-US" w:eastAsia="zh-CN"/>
        </w:rPr>
        <w:t>创新文化活动IP</w:t>
      </w:r>
      <w:r>
        <w:rPr>
          <w:rFonts w:hint="eastAsia"/>
          <w:b/>
          <w:color w:val="auto"/>
          <w:highlight w:val="none"/>
          <w:shd w:val="clear" w:color="auto" w:fill="auto"/>
        </w:rPr>
        <w:t>。</w:t>
      </w:r>
      <w:r>
        <w:rPr>
          <w:rFonts w:hint="eastAsia"/>
          <w:color w:val="auto"/>
          <w:highlight w:val="none"/>
          <w:shd w:val="clear" w:color="auto" w:fill="auto"/>
        </w:rPr>
        <w:t>聚焦“文化传承与创新发展”“文旅产业数字化转型”等前沿议题，</w:t>
      </w:r>
      <w:r>
        <w:rPr>
          <w:rFonts w:hint="eastAsia"/>
          <w:color w:val="auto"/>
          <w:highlight w:val="none"/>
          <w:shd w:val="clear" w:color="auto" w:fill="auto"/>
          <w:lang w:val="en-US" w:eastAsia="zh-CN"/>
        </w:rPr>
        <w:t>依托昌平明文化论坛，</w:t>
      </w:r>
      <w:r>
        <w:rPr>
          <w:rFonts w:hint="eastAsia"/>
          <w:color w:val="auto"/>
          <w:highlight w:val="none"/>
          <w:shd w:val="clear" w:color="auto" w:fill="auto"/>
        </w:rPr>
        <w:t>打造高端文旅产业交流论坛与具有辨识度的文化IP</w:t>
      </w:r>
      <w:r>
        <w:rPr>
          <w:rStyle w:val="31"/>
          <w:rFonts w:hint="eastAsia"/>
          <w:color w:val="auto"/>
          <w:highlight w:val="none"/>
          <w:shd w:val="clear" w:color="auto" w:fill="auto"/>
        </w:rPr>
        <w:footnoteReference w:id="31"/>
      </w:r>
      <w:r>
        <w:rPr>
          <w:rFonts w:hint="eastAsia"/>
          <w:color w:val="auto"/>
          <w:highlight w:val="none"/>
          <w:shd w:val="clear" w:color="auto" w:fill="auto"/>
        </w:rPr>
        <w:t>。持续办好昌平户外运动嘉年华，举办铁人三项、马拉松、自行车赛事，联动装备展、美食节、演艺庙会，体娱消费融合发展。依托山地资源打造国际级越野、骑行赛事品牌，布局骑行驿站培育骑行消费产业</w:t>
      </w:r>
      <w:r>
        <w:rPr>
          <w:rFonts w:hint="eastAsia"/>
          <w:color w:val="auto"/>
          <w:highlight w:val="none"/>
          <w:shd w:val="clear" w:color="auto" w:fill="auto"/>
          <w:lang w:eastAsia="zh-CN"/>
        </w:rPr>
        <w:t>。</w:t>
      </w:r>
      <w:r>
        <w:rPr>
          <w:rFonts w:hint="eastAsia"/>
          <w:color w:val="auto"/>
          <w:highlight w:val="none"/>
          <w:shd w:val="clear" w:color="auto" w:fill="auto"/>
        </w:rPr>
        <w:t>激活票根经济，推行一票通游，凭票享交通、购物优惠</w:t>
      </w:r>
      <w:r>
        <w:rPr>
          <w:rStyle w:val="31"/>
          <w:rFonts w:hint="eastAsia"/>
          <w:color w:val="auto"/>
          <w:highlight w:val="none"/>
          <w:shd w:val="clear" w:color="auto" w:fill="auto"/>
        </w:rPr>
        <w:footnoteReference w:id="32"/>
      </w:r>
      <w:r>
        <w:rPr>
          <w:rFonts w:hint="eastAsia"/>
          <w:color w:val="auto"/>
          <w:highlight w:val="none"/>
          <w:shd w:val="clear" w:color="auto" w:fill="auto"/>
        </w:rPr>
        <w:t>。</w:t>
      </w:r>
    </w:p>
    <w:bookmarkEnd w:id="188"/>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160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9061" w:type="dxa"/>
            <w:vAlign w:val="center"/>
          </w:tcPr>
          <w:p w14:paraId="3472C7EF">
            <w:pPr>
              <w:keepNext/>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黑体" w:hAnsi="黑体" w:eastAsia="黑体"/>
                <w:kern w:val="0"/>
                <w:sz w:val="28"/>
                <w:szCs w:val="28"/>
                <w:highlight w:val="none"/>
                <w:shd w:val="clear" w:color="auto" w:fill="auto"/>
                <w:lang w:val="en-US" w:eastAsia="zh-CN"/>
              </w:rPr>
            </w:pPr>
            <w:bookmarkStart w:id="229" w:name="_Toc20436"/>
            <w:bookmarkStart w:id="230" w:name="_Toc8771"/>
            <w:bookmarkStart w:id="231" w:name="_Toc28043"/>
            <w:bookmarkStart w:id="232" w:name="_Toc630"/>
            <w:bookmarkStart w:id="233" w:name="_Toc10374"/>
            <w:bookmarkStart w:id="234" w:name="_Toc5285"/>
            <w:bookmarkStart w:id="235" w:name="_Toc7897"/>
            <w:bookmarkStart w:id="236" w:name="_Toc31597"/>
            <w:bookmarkStart w:id="237" w:name="_Toc23548"/>
            <w:bookmarkStart w:id="238" w:name="_Toc6037"/>
            <w:bookmarkStart w:id="239" w:name="_Toc1787"/>
            <w:r>
              <w:rPr>
                <w:rFonts w:hint="eastAsia" w:ascii="黑体" w:hAnsi="黑体" w:eastAsia="黑体"/>
                <w:b w:val="0"/>
                <w:bCs w:val="0"/>
                <w:kern w:val="0"/>
                <w:sz w:val="28"/>
                <w:szCs w:val="28"/>
                <w:highlight w:val="none"/>
                <w:shd w:val="clear" w:color="auto" w:fill="auto"/>
              </w:rPr>
              <w:t>专栏</w:t>
            </w:r>
            <w:r>
              <w:rPr>
                <w:rFonts w:hint="eastAsia" w:ascii="黑体" w:hAnsi="黑体" w:eastAsia="黑体"/>
                <w:b w:val="0"/>
                <w:bCs w:val="0"/>
                <w:kern w:val="0"/>
                <w:sz w:val="28"/>
                <w:szCs w:val="28"/>
                <w:highlight w:val="none"/>
                <w:shd w:val="clear" w:color="auto" w:fill="auto"/>
                <w:lang w:val="en-US" w:eastAsia="zh-CN"/>
              </w:rPr>
              <w:t>重点任务</w:t>
            </w:r>
          </w:p>
        </w:tc>
      </w:tr>
      <w:tr w14:paraId="781C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vAlign w:val="center"/>
          </w:tcPr>
          <w:p w14:paraId="0AE0DF5D">
            <w:pPr>
              <w:pageBreakBefore w:val="0"/>
              <w:kinsoku/>
              <w:wordWrap/>
              <w:autoSpaceDE/>
              <w:autoSpaceDN/>
              <w:bidi w:val="0"/>
              <w:ind w:firstLine="560"/>
              <w:rPr>
                <w:rStyle w:val="38"/>
                <w:rFonts w:hint="eastAsia" w:ascii="仿宋_GB2312" w:hAnsi="仿宋_GB2312"/>
                <w:b/>
                <w:bCs/>
                <w:sz w:val="28"/>
                <w:szCs w:val="28"/>
                <w:highlight w:val="none"/>
                <w:shd w:val="clear" w:color="auto" w:fill="auto"/>
                <w:lang w:val="en-US" w:eastAsia="zh-CN"/>
              </w:rPr>
            </w:pPr>
            <w:r>
              <w:rPr>
                <w:rFonts w:hint="eastAsia" w:ascii="仿宋_GB2312" w:hAnsi="仿宋_GB2312"/>
                <w:b/>
                <w:bCs/>
                <w:sz w:val="28"/>
                <w:szCs w:val="28"/>
                <w:highlight w:val="none"/>
                <w:shd w:val="clear" w:color="auto" w:fill="auto"/>
                <w:lang w:val="en-US" w:eastAsia="zh-CN"/>
              </w:rPr>
              <w:t>重点任务一：激活数据要素行动</w:t>
            </w:r>
          </w:p>
          <w:p w14:paraId="44B05531">
            <w:pPr>
              <w:pageBreakBefore w:val="0"/>
              <w:kinsoku/>
              <w:wordWrap/>
              <w:autoSpaceDE/>
              <w:autoSpaceDN/>
              <w:bidi w:val="0"/>
              <w:spacing w:line="240" w:lineRule="auto"/>
              <w:ind w:firstLine="560"/>
              <w:rPr>
                <w:rStyle w:val="38"/>
                <w:rFonts w:hint="default"/>
                <w:sz w:val="28"/>
                <w:szCs w:val="28"/>
                <w:highlight w:val="none"/>
                <w:shd w:val="clear" w:color="auto" w:fill="auto"/>
                <w:lang w:val="en-US" w:eastAsia="zh-CN"/>
              </w:rPr>
            </w:pPr>
            <w:r>
              <w:rPr>
                <w:rStyle w:val="38"/>
                <w:rFonts w:hint="default"/>
                <w:b/>
                <w:bCs/>
                <w:sz w:val="28"/>
                <w:szCs w:val="28"/>
                <w:highlight w:val="none"/>
                <w:shd w:val="clear" w:color="auto" w:fill="auto"/>
                <w:lang w:val="en-US" w:eastAsia="zh-CN"/>
              </w:rPr>
              <w:t>探索数据要素市场化配置新机制</w:t>
            </w:r>
            <w:r>
              <w:rPr>
                <w:rStyle w:val="38"/>
                <w:rFonts w:hint="eastAsia"/>
                <w:b/>
                <w:bCs/>
                <w:sz w:val="28"/>
                <w:szCs w:val="28"/>
                <w:highlight w:val="none"/>
                <w:shd w:val="clear" w:color="auto" w:fill="auto"/>
                <w:lang w:val="en-US" w:eastAsia="zh-CN"/>
              </w:rPr>
              <w:t>。</w:t>
            </w:r>
            <w:r>
              <w:rPr>
                <w:rStyle w:val="38"/>
                <w:rFonts w:hint="default"/>
                <w:sz w:val="28"/>
                <w:szCs w:val="28"/>
                <w:highlight w:val="none"/>
                <w:shd w:val="clear" w:color="auto" w:fill="auto"/>
                <w:lang w:val="en-US" w:eastAsia="zh-CN"/>
              </w:rPr>
              <w:t>借鉴先进地区经验，探索开展数据产权、数据产品、数据交易合约的登记服务。引入第三方机构，探索数据资产的价值评估准则，为数据要素的流通交易提供基础依据。在保障数据安全和个人隐私的前提下，探索开展数据授权使用、数据信托、数据作价入股、数据信贷等多元化模式的试点。支持科研院所和企业在特定领域（如能源、医疗科研）开展数据空间、数据托管服务试点。建立覆盖数据全生命周期的安全管理制度。推广应用隐私计算、区块链等先进技术，实现数据“可用不可见、可控可计量”，保障流通过程中的安全合规。建立数据流通风险预警和应急处置机制。</w:t>
            </w:r>
          </w:p>
          <w:p w14:paraId="515C54DE">
            <w:pPr>
              <w:pageBreakBefore w:val="0"/>
              <w:kinsoku/>
              <w:wordWrap/>
              <w:autoSpaceDE/>
              <w:autoSpaceDN/>
              <w:bidi w:val="0"/>
              <w:spacing w:line="240" w:lineRule="auto"/>
              <w:ind w:firstLine="560"/>
              <w:rPr>
                <w:rStyle w:val="38"/>
                <w:rFonts w:hint="eastAsia"/>
                <w:b w:val="0"/>
                <w:bCs w:val="0"/>
                <w:sz w:val="28"/>
                <w:szCs w:val="28"/>
                <w:highlight w:val="none"/>
                <w:shd w:val="clear" w:color="auto" w:fill="auto"/>
                <w:lang w:val="en-US" w:eastAsia="zh-CN"/>
              </w:rPr>
            </w:pPr>
            <w:r>
              <w:rPr>
                <w:rStyle w:val="38"/>
                <w:rFonts w:hint="default"/>
                <w:b/>
                <w:bCs/>
                <w:sz w:val="28"/>
                <w:szCs w:val="28"/>
                <w:highlight w:val="none"/>
                <w:shd w:val="clear" w:color="auto" w:fill="auto"/>
                <w:lang w:val="en-US" w:eastAsia="zh-CN"/>
              </w:rPr>
              <w:t>汇聚数据要素市场发展新动能</w:t>
            </w:r>
            <w:r>
              <w:rPr>
                <w:rStyle w:val="38"/>
                <w:rFonts w:hint="eastAsia"/>
                <w:b/>
                <w:bCs/>
                <w:sz w:val="28"/>
                <w:szCs w:val="28"/>
                <w:highlight w:val="none"/>
                <w:shd w:val="clear" w:color="auto" w:fill="auto"/>
                <w:lang w:val="en-US" w:eastAsia="zh-CN"/>
              </w:rPr>
              <w:t>。</w:t>
            </w:r>
            <w:r>
              <w:rPr>
                <w:rStyle w:val="38"/>
                <w:rFonts w:hint="eastAsia"/>
                <w:b w:val="0"/>
                <w:bCs w:val="0"/>
                <w:sz w:val="28"/>
                <w:szCs w:val="28"/>
                <w:highlight w:val="none"/>
                <w:shd w:val="clear" w:color="auto" w:fill="auto"/>
                <w:lang w:val="en-US" w:eastAsia="zh-CN"/>
              </w:rPr>
              <w:t>重点引进和培育一批从事数据集成、数据治理、数据分析、数据交易的专业数据商。鼓励发展数据合规评估、质量评估、资产评估等第三方专业服务机构，繁荣数据要素服务生态。在未来科学城或昌平新城规划建设“数据要素产业基地”，提供优惠政策和物理空间，吸引数据创新企业、研发中心、功能型平台入驻，形成集聚效应。围绕能源互联网、医药健康、先进制造等昌平优势产业，举办行业数据创新应用大赛和高峰论坛，发掘优秀解决方案，吸引优秀人才和项目落地，提升昌平在数据要素领域的影响力。</w:t>
            </w:r>
          </w:p>
          <w:p w14:paraId="10C2464C">
            <w:pPr>
              <w:spacing w:line="240" w:lineRule="auto"/>
              <w:ind w:firstLine="560"/>
              <w:rPr>
                <w:rFonts w:hint="eastAsia" w:ascii="仿宋_GB2312" w:hAnsi="仿宋_GB2312"/>
                <w:b w:val="0"/>
                <w:bCs w:val="0"/>
                <w:sz w:val="28"/>
                <w:szCs w:val="28"/>
                <w:highlight w:val="none"/>
                <w:shd w:val="clear" w:color="auto" w:fill="auto"/>
                <w:lang w:val="en-US" w:eastAsia="zh-CN"/>
              </w:rPr>
            </w:pPr>
            <w:r>
              <w:rPr>
                <w:rFonts w:hint="eastAsia" w:ascii="仿宋_GB2312" w:hAnsi="仿宋_GB2312"/>
                <w:b/>
                <w:bCs/>
                <w:sz w:val="28"/>
                <w:szCs w:val="28"/>
                <w:highlight w:val="none"/>
                <w:shd w:val="clear" w:color="auto" w:fill="auto"/>
                <w:lang w:val="en-US" w:eastAsia="zh-CN"/>
              </w:rPr>
              <w:t>释放数据要素赋能千行百业新价值。</w:t>
            </w:r>
            <w:r>
              <w:rPr>
                <w:rFonts w:hint="eastAsia" w:ascii="仿宋_GB2312" w:hAnsi="仿宋_GB2312"/>
                <w:b w:val="0"/>
                <w:bCs w:val="0"/>
                <w:sz w:val="28"/>
                <w:szCs w:val="28"/>
                <w:highlight w:val="none"/>
                <w:shd w:val="clear" w:color="auto" w:fill="auto"/>
                <w:lang w:val="en-US" w:eastAsia="zh-CN"/>
              </w:rPr>
              <w:t>建设能源工业互联网平台，促进发电、电网、用户侧数据融合应用，支撑智慧能源管理和绿色交易。探索在合规前提下，推动临床研究、生物样本等数据在科研院所、医院、药企间的共享利用，加速新药研发和精准医疗发展。推动企业上云用数赋智，建设产业链协同平台。深化数据在交通治理（智能信控、智慧停车）、应急管理、生态环境监测、公共卫生预警等领域的应用，实现“一网统管”、科学决策和精准调度。推动“一老一小”等民生服务领域的数字化升级。探索利用数据实现养老服务精准匹配、健康档案互联互通、教育资源优化配置等，提升市民获得感。</w:t>
            </w:r>
          </w:p>
          <w:p w14:paraId="435BA755">
            <w:pPr>
              <w:spacing w:line="240" w:lineRule="auto"/>
              <w:ind w:firstLine="560"/>
              <w:rPr>
                <w:rFonts w:hint="eastAsia" w:ascii="仿宋_GB2312" w:hAnsi="仿宋_GB2312"/>
                <w:b/>
                <w:bCs/>
                <w:sz w:val="28"/>
                <w:szCs w:val="28"/>
                <w:highlight w:val="none"/>
                <w:shd w:val="clear" w:color="auto" w:fill="auto"/>
                <w:lang w:val="en-US" w:eastAsia="zh-CN"/>
              </w:rPr>
            </w:pPr>
            <w:r>
              <w:rPr>
                <w:rFonts w:hint="eastAsia" w:ascii="仿宋_GB2312" w:hAnsi="仿宋_GB2312"/>
                <w:b/>
                <w:bCs/>
                <w:sz w:val="28"/>
                <w:szCs w:val="28"/>
                <w:highlight w:val="none"/>
                <w:shd w:val="clear" w:color="auto" w:fill="auto"/>
                <w:lang w:val="en-US" w:eastAsia="zh-CN"/>
              </w:rPr>
              <w:t>重点任务二：青年友好型城区建设</w:t>
            </w:r>
          </w:p>
          <w:p w14:paraId="7200674F">
            <w:pPr>
              <w:spacing w:line="240" w:lineRule="auto"/>
              <w:ind w:firstLine="560" w:firstLineChars="200"/>
              <w:rPr>
                <w:rFonts w:hint="eastAsia" w:ascii="仿宋_GB2312" w:hAnsi="仿宋_GB2312"/>
                <w:sz w:val="28"/>
                <w:szCs w:val="28"/>
                <w:highlight w:val="none"/>
                <w:shd w:val="clear" w:color="auto" w:fill="auto"/>
                <w:lang w:val="en-US" w:eastAsia="zh-CN"/>
              </w:rPr>
            </w:pPr>
            <w:r>
              <w:rPr>
                <w:rFonts w:hint="eastAsia" w:ascii="仿宋_GB2312" w:hAnsi="仿宋_GB2312"/>
                <w:b/>
                <w:bCs/>
                <w:sz w:val="28"/>
                <w:szCs w:val="28"/>
                <w:highlight w:val="none"/>
                <w:shd w:val="clear" w:color="auto" w:fill="auto"/>
                <w:lang w:val="en-US" w:eastAsia="zh-CN"/>
              </w:rPr>
              <w:t>实施青年就业促进专项行动。</w:t>
            </w:r>
            <w:r>
              <w:rPr>
                <w:rFonts w:hint="eastAsia" w:ascii="仿宋_GB2312" w:hAnsi="仿宋_GB2312"/>
                <w:b w:val="0"/>
                <w:bCs w:val="0"/>
                <w:sz w:val="28"/>
                <w:szCs w:val="28"/>
                <w:highlight w:val="none"/>
                <w:shd w:val="clear" w:color="auto" w:fill="auto"/>
                <w:lang w:val="en-US" w:eastAsia="zh-CN"/>
              </w:rPr>
              <w:t>在全区范围内启动实施青年就业服务攻坚行动，以未就业高校毕业生等青年群体为重点，集中力量开展就业帮扶，帮助顺利就业。对有就业意愿的困难家庭毕业生提供指导服务，优先推荐就业岗位，优先开展培训见习。</w:t>
            </w:r>
          </w:p>
          <w:p w14:paraId="394DD24B">
            <w:pPr>
              <w:spacing w:line="240" w:lineRule="auto"/>
              <w:ind w:firstLine="560" w:firstLineChars="200"/>
              <w:rPr>
                <w:rFonts w:hint="default"/>
                <w:sz w:val="28"/>
                <w:szCs w:val="28"/>
                <w:lang w:val="en-US" w:eastAsia="zh-CN"/>
              </w:rPr>
            </w:pPr>
            <w:r>
              <w:rPr>
                <w:rFonts w:hint="default"/>
                <w:b/>
                <w:bCs/>
                <w:sz w:val="28"/>
                <w:szCs w:val="28"/>
                <w:lang w:val="en-US" w:eastAsia="zh-CN"/>
              </w:rPr>
              <w:t>持续扩充青年住房供给资源</w:t>
            </w:r>
            <w:r>
              <w:rPr>
                <w:rFonts w:hint="eastAsia"/>
                <w:b/>
                <w:bCs/>
                <w:sz w:val="28"/>
                <w:szCs w:val="28"/>
                <w:lang w:val="en-US" w:eastAsia="zh-CN"/>
              </w:rPr>
              <w:t>。</w:t>
            </w:r>
            <w:r>
              <w:rPr>
                <w:rFonts w:hint="default"/>
                <w:sz w:val="28"/>
                <w:szCs w:val="28"/>
                <w:lang w:val="en-US" w:eastAsia="zh-CN"/>
              </w:rPr>
              <w:t>优化各类租赁住房供应结构，持续完善多主体供给、多渠道保障的住房制度。积极执行北京市《关于进一步优化调整本市房地产相关政策的通知》等相关政策，推动形成租购并举的青年住房格局。合理配置保障房公共服务设施，适当增设公共空间满足青年工作生活需求，开展丰富多样的社区活动，丰富青年居住体验。探索区域化租赁住房保障，高教园区围绕高校青年，重点打造面向教研青年群体需求的青年社区；科技园区联合重点企业建设保障住房等。引导重点科研机构、青年活力企业参与住房供给端建设与服务运营，推动形成青年为本、政企联动的住房保障模式。引导市场化机构、平台公司、科研单位等共同参与建立青年住房建设、服务、运营机制。</w:t>
            </w:r>
          </w:p>
          <w:p w14:paraId="4643A578">
            <w:pPr>
              <w:spacing w:line="240" w:lineRule="auto"/>
              <w:ind w:firstLine="560"/>
              <w:rPr>
                <w:rFonts w:hint="eastAsia"/>
                <w:sz w:val="28"/>
                <w:szCs w:val="28"/>
                <w:highlight w:val="none"/>
                <w:shd w:val="clear" w:color="auto" w:fill="auto"/>
                <w:lang w:val="en-US" w:eastAsia="zh-CN"/>
              </w:rPr>
            </w:pPr>
            <w:r>
              <w:rPr>
                <w:rFonts w:hint="default"/>
                <w:b/>
                <w:bCs/>
                <w:sz w:val="28"/>
                <w:szCs w:val="28"/>
                <w:lang w:val="en-US" w:eastAsia="zh-CN"/>
              </w:rPr>
              <w:t>促进“昌平青年汇”多元化发展</w:t>
            </w:r>
            <w:r>
              <w:rPr>
                <w:rFonts w:hint="eastAsia"/>
                <w:b/>
                <w:bCs/>
                <w:sz w:val="28"/>
                <w:szCs w:val="28"/>
                <w:lang w:val="en-US" w:eastAsia="zh-CN"/>
              </w:rPr>
              <w:t>。</w:t>
            </w:r>
            <w:r>
              <w:rPr>
                <w:rFonts w:hint="eastAsia"/>
                <w:sz w:val="28"/>
                <w:szCs w:val="28"/>
                <w:lang w:val="en-US" w:eastAsia="zh-CN"/>
              </w:rPr>
              <w:t>积极打造思想引导、学习培训、城市融入、志愿公益、交友联谊、普法维权、技能提升、公益托管等服务昌平青年“十大场景”。突出重点商圈、大型社区、科技园区等，动态调整社区青年汇服务阵地，打造一批青年“活力圈”。开展“一月一主题”活动，广泛邀请青年群体通过多种方式在昌平交流互动。依托“昌聚高校校友发展联盟”和“昌聚未来——全球校友人才会客厅”，打造就业创业型青年汇。聚焦青年技能提升需求，为青年群体提供质优价廉的技能提升课程。依托“昌聚高校青年发展联盟”，加强与在昌高校沟通，积极开展高校学生假期实践活动，组织实施“青年实干家”项目。增加青年群体国际交流机会，为青年群体提供更广阔的国际视野，探索完善相关配套设施。</w:t>
            </w:r>
          </w:p>
        </w:tc>
      </w:tr>
    </w:tbl>
    <w:p w14:paraId="6A153670">
      <w:pPr>
        <w:pStyle w:val="2"/>
        <w:bidi w:val="0"/>
        <w:rPr>
          <w:rFonts w:hint="default"/>
          <w:lang w:val="en-US" w:eastAsia="zh-CN"/>
        </w:rPr>
      </w:pPr>
      <w:bookmarkStart w:id="240" w:name="_Toc8960"/>
      <w:bookmarkStart w:id="241" w:name="_Toc20483"/>
      <w:bookmarkStart w:id="242" w:name="_Toc21346"/>
      <w:bookmarkStart w:id="243" w:name="_Toc24854"/>
      <w:bookmarkStart w:id="244" w:name="_Toc3937"/>
      <w:r>
        <w:rPr>
          <w:rFonts w:hint="eastAsia"/>
          <w:lang w:val="en-US" w:eastAsia="zh-CN"/>
        </w:rPr>
        <w:t>七、营造京津冀营商环境</w:t>
      </w:r>
      <w:bookmarkEnd w:id="229"/>
      <w:bookmarkEnd w:id="230"/>
      <w:bookmarkEnd w:id="240"/>
      <w:bookmarkEnd w:id="241"/>
      <w:bookmarkEnd w:id="242"/>
      <w:bookmarkEnd w:id="243"/>
      <w:bookmarkEnd w:id="244"/>
    </w:p>
    <w:p w14:paraId="3B2652E6">
      <w:pPr>
        <w:pStyle w:val="3"/>
        <w:bidi w:val="0"/>
        <w:rPr>
          <w:rFonts w:hint="eastAsia"/>
          <w:lang w:val="en-US" w:eastAsia="zh-CN"/>
        </w:rPr>
      </w:pPr>
      <w:bookmarkStart w:id="245" w:name="_Toc1866"/>
      <w:bookmarkStart w:id="246" w:name="_Toc25868"/>
      <w:bookmarkStart w:id="247" w:name="_Toc26056"/>
      <w:r>
        <w:rPr>
          <w:rFonts w:hint="eastAsia"/>
          <w:lang w:val="en-US" w:eastAsia="zh-CN"/>
        </w:rPr>
        <w:t>（一）强化重点领域协同发展</w:t>
      </w:r>
      <w:bookmarkEnd w:id="245"/>
      <w:bookmarkEnd w:id="246"/>
      <w:bookmarkEnd w:id="247"/>
    </w:p>
    <w:p w14:paraId="705ABCFC">
      <w:pPr>
        <w:pageBreakBefore w:val="0"/>
        <w:kinsoku/>
        <w:wordWrap/>
        <w:autoSpaceDE/>
        <w:autoSpaceDN/>
        <w:bidi w:val="0"/>
        <w:spacing w:line="560" w:lineRule="exact"/>
        <w:ind w:firstLine="640"/>
        <w:rPr>
          <w:rFonts w:hint="eastAsia"/>
          <w:highlight w:val="none"/>
          <w:shd w:val="clear" w:color="auto" w:fill="auto"/>
          <w:lang w:eastAsia="zh-CN"/>
        </w:rPr>
      </w:pPr>
      <w:r>
        <w:rPr>
          <w:rFonts w:hint="eastAsia"/>
          <w:b/>
          <w:bCs/>
          <w:highlight w:val="none"/>
          <w:shd w:val="clear" w:color="auto" w:fill="auto"/>
          <w:lang w:val="en-US" w:eastAsia="zh-CN"/>
        </w:rPr>
        <w:t>提升跨区域办事便利度。</w:t>
      </w:r>
      <w:r>
        <w:rPr>
          <w:rFonts w:hint="eastAsia"/>
          <w:highlight w:val="none"/>
          <w:shd w:val="clear" w:color="auto" w:fill="auto"/>
          <w:lang w:val="en-US" w:eastAsia="zh-CN"/>
        </w:rPr>
        <w:t>落实</w:t>
      </w:r>
      <w:r>
        <w:rPr>
          <w:rFonts w:hint="default"/>
          <w:highlight w:val="none"/>
          <w:shd w:val="clear" w:color="auto" w:fill="auto"/>
          <w:lang w:val="en-US" w:eastAsia="zh-CN"/>
        </w:rPr>
        <w:t>京津冀三地信息共享、数据互联、业务协同</w:t>
      </w:r>
      <w:r>
        <w:rPr>
          <w:rFonts w:hint="eastAsia"/>
          <w:highlight w:val="none"/>
          <w:shd w:val="clear" w:color="auto" w:fill="auto"/>
          <w:lang w:val="en-US" w:eastAsia="zh-CN"/>
        </w:rPr>
        <w:t>要求。积极配合推进落实</w:t>
      </w:r>
      <w:r>
        <w:rPr>
          <w:rFonts w:hint="eastAsia" w:ascii="仿宋_GB2312" w:hAnsi="仿宋_GB2312" w:eastAsia="仿宋_GB2312" w:cs="仿宋_GB2312"/>
          <w:color w:val="auto"/>
          <w:w w:val="100"/>
          <w:sz w:val="32"/>
          <w:szCs w:val="32"/>
          <w:highlight w:val="none"/>
          <w:u w:val="none"/>
          <w:shd w:val="clear" w:color="auto" w:fill="auto"/>
          <w:lang w:val="en-US" w:eastAsia="zh-CN"/>
        </w:rPr>
        <w:t>京津冀政务服务“跨省通办”事项</w:t>
      </w:r>
      <w:r>
        <w:rPr>
          <w:rFonts w:hint="eastAsia" w:cs="仿宋_GB2312"/>
          <w:color w:val="auto"/>
          <w:w w:val="100"/>
          <w:sz w:val="32"/>
          <w:szCs w:val="32"/>
          <w:highlight w:val="none"/>
          <w:u w:val="none"/>
          <w:shd w:val="clear" w:color="auto" w:fill="auto"/>
          <w:lang w:val="en-US" w:eastAsia="zh-CN"/>
        </w:rPr>
        <w:t>及</w:t>
      </w:r>
      <w:r>
        <w:rPr>
          <w:rFonts w:hint="default" w:ascii="仿宋_GB2312" w:hAnsi="仿宋_GB2312" w:eastAsia="仿宋_GB2312" w:cs="仿宋_GB2312"/>
          <w:color w:val="auto"/>
          <w:w w:val="100"/>
          <w:sz w:val="32"/>
          <w:szCs w:val="32"/>
          <w:highlight w:val="none"/>
          <w:u w:val="none"/>
          <w:shd w:val="clear" w:color="auto" w:fill="auto"/>
          <w:lang w:val="en-US" w:eastAsia="zh-CN"/>
        </w:rPr>
        <w:t>“一网通办”专区</w:t>
      </w:r>
      <w:r>
        <w:rPr>
          <w:rFonts w:hint="eastAsia" w:cs="仿宋_GB2312"/>
          <w:color w:val="auto"/>
          <w:w w:val="100"/>
          <w:sz w:val="32"/>
          <w:szCs w:val="32"/>
          <w:highlight w:val="none"/>
          <w:u w:val="none"/>
          <w:shd w:val="clear" w:color="auto" w:fill="auto"/>
          <w:lang w:val="en-US" w:eastAsia="zh-CN"/>
        </w:rPr>
        <w:t>建设</w:t>
      </w:r>
      <w:r>
        <w:rPr>
          <w:rFonts w:hint="default"/>
          <w:highlight w:val="none"/>
          <w:shd w:val="clear" w:color="auto" w:fill="auto"/>
          <w:lang w:val="en-US" w:eastAsia="zh-CN"/>
        </w:rPr>
        <w:t>，提升“区域通办”服务质效</w:t>
      </w:r>
      <w:r>
        <w:rPr>
          <w:rStyle w:val="31"/>
          <w:rFonts w:hint="default"/>
          <w:highlight w:val="none"/>
          <w:shd w:val="clear" w:color="auto" w:fill="auto"/>
          <w:lang w:eastAsia="zh-CN"/>
        </w:rPr>
        <w:footnoteReference w:id="33"/>
      </w:r>
      <w:r>
        <w:rPr>
          <w:rFonts w:hint="eastAsia"/>
          <w:highlight w:val="none"/>
          <w:shd w:val="clear" w:color="auto" w:fill="auto"/>
          <w:lang w:val="en-US" w:eastAsia="zh-CN"/>
        </w:rPr>
        <w:t>。贯彻执行</w:t>
      </w:r>
      <w:r>
        <w:rPr>
          <w:rFonts w:hint="default"/>
          <w:highlight w:val="none"/>
          <w:shd w:val="clear" w:color="auto" w:fill="auto"/>
          <w:lang w:eastAsia="zh-CN"/>
        </w:rPr>
        <w:t>京津冀资质资格互认场景化应用清单，进一步深化区域协同发展</w:t>
      </w:r>
      <w:r>
        <w:rPr>
          <w:rFonts w:hint="eastAsia"/>
          <w:highlight w:val="none"/>
          <w:shd w:val="clear" w:color="auto" w:fill="auto"/>
          <w:lang w:eastAsia="zh-CN"/>
        </w:rPr>
        <w:t>，明确认定生效、备案生效、直接生效</w:t>
      </w:r>
      <w:r>
        <w:rPr>
          <w:rFonts w:hint="eastAsia"/>
          <w:highlight w:val="none"/>
          <w:shd w:val="clear" w:color="auto" w:fill="auto"/>
          <w:lang w:val="en-US" w:eastAsia="zh-CN"/>
        </w:rPr>
        <w:t>等</w:t>
      </w:r>
      <w:r>
        <w:rPr>
          <w:rFonts w:hint="eastAsia"/>
          <w:highlight w:val="none"/>
          <w:shd w:val="clear" w:color="auto" w:fill="auto"/>
          <w:lang w:eastAsia="zh-CN"/>
        </w:rPr>
        <w:t>互认方式，</w:t>
      </w:r>
      <w:r>
        <w:rPr>
          <w:rFonts w:hint="eastAsia"/>
          <w:highlight w:val="none"/>
          <w:shd w:val="clear" w:color="auto" w:fill="auto"/>
          <w:lang w:val="en-US" w:eastAsia="zh-CN"/>
        </w:rPr>
        <w:t>使</w:t>
      </w:r>
      <w:r>
        <w:rPr>
          <w:rFonts w:hint="eastAsia"/>
          <w:highlight w:val="none"/>
          <w:shd w:val="clear" w:color="auto" w:fill="auto"/>
          <w:lang w:eastAsia="zh-CN"/>
        </w:rPr>
        <w:t>企业和群众在京津冀区域内办理异地业务时，可实现资质资格结果跨省互认</w:t>
      </w:r>
      <w:r>
        <w:rPr>
          <w:rStyle w:val="31"/>
          <w:rFonts w:hint="eastAsia"/>
          <w:highlight w:val="none"/>
          <w:shd w:val="clear" w:color="auto" w:fill="auto"/>
          <w:lang w:eastAsia="zh-CN"/>
        </w:rPr>
        <w:footnoteReference w:id="34"/>
      </w:r>
      <w:r>
        <w:rPr>
          <w:rFonts w:hint="eastAsia"/>
          <w:highlight w:val="none"/>
          <w:shd w:val="clear" w:color="auto" w:fill="auto"/>
          <w:lang w:eastAsia="zh-CN"/>
        </w:rPr>
        <w:t>。</w:t>
      </w:r>
    </w:p>
    <w:p w14:paraId="4F382284">
      <w:pPr>
        <w:pageBreakBefore w:val="0"/>
        <w:kinsoku/>
        <w:wordWrap/>
        <w:autoSpaceDE/>
        <w:autoSpaceDN/>
        <w:bidi w:val="0"/>
        <w:spacing w:line="560" w:lineRule="exact"/>
        <w:ind w:firstLine="640"/>
        <w:rPr>
          <w:rFonts w:hint="default"/>
          <w:highlight w:val="none"/>
          <w:shd w:val="clear" w:color="auto" w:fill="auto"/>
          <w:lang w:eastAsia="zh-CN"/>
        </w:rPr>
      </w:pPr>
      <w:r>
        <w:rPr>
          <w:rFonts w:hint="default"/>
          <w:b/>
          <w:bCs/>
          <w:highlight w:val="none"/>
          <w:shd w:val="clear" w:color="auto" w:fill="auto"/>
          <w:lang w:eastAsia="zh-CN"/>
        </w:rPr>
        <w:t>深化</w:t>
      </w:r>
      <w:r>
        <w:rPr>
          <w:rFonts w:hint="eastAsia"/>
          <w:b/>
          <w:bCs/>
          <w:highlight w:val="none"/>
          <w:shd w:val="clear" w:color="auto" w:fill="auto"/>
          <w:lang w:val="en-US" w:eastAsia="zh-CN"/>
        </w:rPr>
        <w:t>跨区域法治</w:t>
      </w:r>
      <w:r>
        <w:rPr>
          <w:rFonts w:hint="default"/>
          <w:b/>
          <w:bCs/>
          <w:highlight w:val="none"/>
          <w:shd w:val="clear" w:color="auto" w:fill="auto"/>
          <w:lang w:eastAsia="zh-CN"/>
        </w:rPr>
        <w:t>协作</w:t>
      </w:r>
      <w:r>
        <w:rPr>
          <w:rFonts w:hint="eastAsia"/>
          <w:b/>
          <w:bCs/>
          <w:highlight w:val="none"/>
          <w:shd w:val="clear" w:color="auto" w:fill="auto"/>
          <w:lang w:eastAsia="zh-CN"/>
        </w:rPr>
        <w:t>。</w:t>
      </w:r>
      <w:r>
        <w:rPr>
          <w:rFonts w:hint="eastAsia"/>
          <w:b w:val="0"/>
          <w:bCs w:val="0"/>
          <w:highlight w:val="none"/>
          <w:shd w:val="clear" w:color="auto" w:fill="auto"/>
          <w:lang w:val="en-US" w:eastAsia="zh-CN"/>
        </w:rPr>
        <w:t>落实</w:t>
      </w:r>
      <w:r>
        <w:rPr>
          <w:rFonts w:hint="default"/>
          <w:highlight w:val="none"/>
          <w:shd w:val="clear" w:color="auto" w:fill="auto"/>
          <w:lang w:eastAsia="zh-CN"/>
        </w:rPr>
        <w:t>监管执法协同联动，扩大“扫码检查”覆盖范围</w:t>
      </w:r>
      <w:r>
        <w:rPr>
          <w:rFonts w:hint="eastAsia"/>
          <w:highlight w:val="none"/>
          <w:shd w:val="clear" w:color="auto" w:fill="auto"/>
          <w:lang w:val="en-US" w:eastAsia="zh-CN"/>
        </w:rPr>
        <w:t>，推动京津冀联动执法机制扎实落地，加大跨地区、跨部门、跨层级执法协作力度，打破部门壁垒，形成执法合力，促进各部门间依法履职信息互联互通、信息共享</w:t>
      </w:r>
      <w:r>
        <w:rPr>
          <w:rStyle w:val="31"/>
          <w:rFonts w:hint="eastAsia"/>
          <w:highlight w:val="none"/>
          <w:shd w:val="clear" w:color="auto" w:fill="auto"/>
          <w:lang w:val="en-US" w:eastAsia="zh-CN"/>
        </w:rPr>
        <w:footnoteReference w:id="35"/>
      </w:r>
      <w:r>
        <w:rPr>
          <w:rFonts w:hint="eastAsia"/>
          <w:highlight w:val="none"/>
          <w:shd w:val="clear" w:color="auto" w:fill="auto"/>
          <w:lang w:val="en-US" w:eastAsia="zh-CN"/>
        </w:rPr>
        <w:t>。助力</w:t>
      </w:r>
      <w:r>
        <w:rPr>
          <w:rFonts w:hint="default"/>
          <w:highlight w:val="none"/>
          <w:shd w:val="clear" w:color="auto" w:fill="auto"/>
          <w:lang w:eastAsia="zh-CN"/>
        </w:rPr>
        <w:t>优化跨区域立案服务，</w:t>
      </w:r>
      <w:r>
        <w:rPr>
          <w:rFonts w:hint="eastAsia"/>
          <w:highlight w:val="none"/>
          <w:shd w:val="clear" w:color="auto" w:fill="auto"/>
          <w:lang w:val="en-US" w:eastAsia="zh-CN"/>
        </w:rPr>
        <w:t>完善</w:t>
      </w:r>
      <w:r>
        <w:rPr>
          <w:rFonts w:hint="default"/>
          <w:highlight w:val="none"/>
          <w:shd w:val="clear" w:color="auto" w:fill="auto"/>
          <w:lang w:eastAsia="zh-CN"/>
        </w:rPr>
        <w:t>跨域协作机制，推动跨</w:t>
      </w:r>
      <w:r>
        <w:rPr>
          <w:rFonts w:hint="eastAsia"/>
          <w:highlight w:val="none"/>
          <w:shd w:val="clear" w:color="auto" w:fill="auto"/>
          <w:lang w:val="en-US" w:eastAsia="zh-CN"/>
        </w:rPr>
        <w:t>区</w:t>
      </w:r>
      <w:r>
        <w:rPr>
          <w:rFonts w:hint="default"/>
          <w:highlight w:val="none"/>
          <w:shd w:val="clear" w:color="auto" w:fill="auto"/>
          <w:lang w:eastAsia="zh-CN"/>
        </w:rPr>
        <w:t>域司法协作常态长效</w:t>
      </w:r>
      <w:r>
        <w:rPr>
          <w:rFonts w:hint="eastAsia"/>
          <w:highlight w:val="none"/>
          <w:shd w:val="clear" w:color="auto" w:fill="auto"/>
          <w:lang w:eastAsia="zh-CN"/>
        </w:rPr>
        <w:t>，</w:t>
      </w:r>
      <w:r>
        <w:rPr>
          <w:rFonts w:hint="default"/>
          <w:highlight w:val="none"/>
          <w:shd w:val="clear" w:color="auto" w:fill="auto"/>
          <w:lang w:eastAsia="zh-CN"/>
        </w:rPr>
        <w:t>便利当事人网上立案、自助立案、跨域立案</w:t>
      </w:r>
      <w:r>
        <w:rPr>
          <w:rStyle w:val="31"/>
          <w:rFonts w:hint="default"/>
          <w:highlight w:val="none"/>
          <w:shd w:val="clear" w:color="auto" w:fill="auto"/>
          <w:lang w:eastAsia="zh-CN"/>
        </w:rPr>
        <w:footnoteReference w:id="36"/>
      </w:r>
      <w:r>
        <w:rPr>
          <w:rFonts w:hint="default"/>
          <w:highlight w:val="none"/>
          <w:shd w:val="clear" w:color="auto" w:fill="auto"/>
          <w:lang w:eastAsia="zh-CN"/>
        </w:rPr>
        <w:t>。</w:t>
      </w:r>
    </w:p>
    <w:p w14:paraId="4440814C">
      <w:pPr>
        <w:pStyle w:val="3"/>
        <w:bidi w:val="0"/>
        <w:rPr>
          <w:rFonts w:hint="eastAsia"/>
          <w:lang w:val="en-US" w:eastAsia="zh-CN"/>
        </w:rPr>
      </w:pPr>
      <w:bookmarkStart w:id="248" w:name="_Toc30691"/>
      <w:bookmarkStart w:id="249" w:name="_Toc25173"/>
      <w:bookmarkStart w:id="250" w:name="_Toc12452"/>
      <w:r>
        <w:rPr>
          <w:rFonts w:hint="eastAsia"/>
          <w:lang w:val="en-US" w:eastAsia="zh-CN"/>
        </w:rPr>
        <w:t>（二）促进区域协同创新</w:t>
      </w:r>
      <w:bookmarkEnd w:id="248"/>
      <w:bookmarkEnd w:id="249"/>
      <w:bookmarkEnd w:id="250"/>
    </w:p>
    <w:p w14:paraId="77C9C253">
      <w:pPr>
        <w:pStyle w:val="13"/>
        <w:adjustRightInd/>
        <w:spacing w:after="0"/>
        <w:ind w:firstLine="640"/>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pPr>
      <w:r>
        <w:rPr>
          <w:rFonts w:hint="eastAsia" w:ascii="宋体" w:hAnsi="Courier New" w:eastAsia="仿宋_GB2312" w:cs="仿宋_GB2312"/>
          <w:b/>
          <w:bCs/>
          <w:i w:val="0"/>
          <w:iCs w:val="0"/>
          <w:caps w:val="0"/>
          <w:spacing w:val="0"/>
          <w:kern w:val="2"/>
          <w:sz w:val="32"/>
          <w:szCs w:val="24"/>
          <w:highlight w:val="none"/>
          <w:shd w:val="clear" w:color="auto" w:fill="auto"/>
          <w:vertAlign w:val="baseline"/>
          <w:lang w:val="en-US" w:eastAsia="zh-CN" w:bidi="ar"/>
        </w:rPr>
        <w:t>强化产业协同联动。</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聚焦</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先进</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能源、</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先进制造、</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医药</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健康、未来产业等领域，</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共建产业协同创新中心</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。推进</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三地</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产业协同</w:t>
      </w:r>
      <w:r>
        <w:rPr>
          <w:rFonts w:hint="eastAsia" w:ascii="宋体" w:hAnsi="Courier New" w:eastAsia="仿宋_GB2312" w:cs="仿宋_GB2312"/>
          <w:b w:val="0"/>
          <w:bCs w:val="0"/>
          <w:i w:val="0"/>
          <w:iCs w:val="0"/>
          <w:caps w:val="0"/>
          <w:spacing w:val="0"/>
          <w:kern w:val="2"/>
          <w:sz w:val="32"/>
          <w:szCs w:val="24"/>
          <w:highlight w:val="none"/>
          <w:shd w:val="clear" w:color="auto" w:fill="auto"/>
          <w:vertAlign w:val="baseline"/>
          <w:lang w:val="en-US" w:eastAsia="zh-CN" w:bidi="ar"/>
        </w:rPr>
        <w:t>、设施共享、创新券互认，吸引央企、高校、科研机构跨区域入驻，健全“供需清单式”成果转化对接机制</w:t>
      </w:r>
      <w:r>
        <w:rPr>
          <w:rFonts w:hint="eastAsia" w:cs="仿宋_GB2312"/>
          <w:b w:val="0"/>
          <w:bCs w:val="0"/>
          <w:i w:val="0"/>
          <w:iCs w:val="0"/>
          <w:caps w:val="0"/>
          <w:spacing w:val="0"/>
          <w:kern w:val="2"/>
          <w:sz w:val="32"/>
          <w:szCs w:val="24"/>
          <w:highlight w:val="none"/>
          <w:shd w:val="clear" w:color="auto" w:fill="auto"/>
          <w:vertAlign w:val="baseline"/>
          <w:lang w:val="en-US" w:eastAsia="zh-CN" w:bidi="ar"/>
        </w:rPr>
        <w:t>。</w:t>
      </w:r>
    </w:p>
    <w:p w14:paraId="657BCDEE">
      <w:pPr>
        <w:pStyle w:val="3"/>
        <w:bidi w:val="0"/>
        <w:rPr>
          <w:rFonts w:hint="default"/>
          <w:lang w:val="en-US" w:eastAsia="zh-CN"/>
        </w:rPr>
      </w:pPr>
      <w:bookmarkStart w:id="251" w:name="_Toc1073"/>
      <w:bookmarkStart w:id="252" w:name="_Toc14906"/>
      <w:bookmarkStart w:id="253" w:name="_Toc2782"/>
      <w:r>
        <w:rPr>
          <w:rFonts w:hint="eastAsia"/>
          <w:lang w:val="en-US" w:eastAsia="zh-CN"/>
        </w:rPr>
        <w:t>（三）</w:t>
      </w:r>
      <w:r>
        <w:rPr>
          <w:rFonts w:hint="eastAsia"/>
          <w:lang w:eastAsia="zh-CN"/>
        </w:rPr>
        <w:t>推动公共服务共建共享</w:t>
      </w:r>
      <w:bookmarkEnd w:id="251"/>
      <w:bookmarkEnd w:id="252"/>
      <w:bookmarkEnd w:id="253"/>
    </w:p>
    <w:p w14:paraId="2F56F287">
      <w:pPr>
        <w:rPr>
          <w:rFonts w:hint="eastAsia"/>
          <w:highlight w:val="none"/>
          <w:shd w:val="clear" w:color="auto" w:fill="auto"/>
          <w:lang w:eastAsia="zh-CN"/>
        </w:rPr>
      </w:pPr>
      <w:r>
        <w:rPr>
          <w:rFonts w:hint="eastAsia"/>
          <w:b/>
          <w:bCs/>
          <w:highlight w:val="none"/>
          <w:shd w:val="clear" w:color="auto" w:fill="auto"/>
          <w:lang w:eastAsia="zh-CN"/>
        </w:rPr>
        <w:t>深化医疗保障服务</w:t>
      </w:r>
      <w:r>
        <w:rPr>
          <w:rFonts w:hint="eastAsia"/>
          <w:b/>
          <w:bCs/>
          <w:highlight w:val="none"/>
          <w:shd w:val="clear" w:color="auto" w:fill="auto"/>
          <w:lang w:val="en-US" w:eastAsia="zh-CN"/>
        </w:rPr>
        <w:t>建设</w:t>
      </w:r>
      <w:r>
        <w:rPr>
          <w:rFonts w:hint="eastAsia"/>
          <w:b/>
          <w:bCs/>
          <w:highlight w:val="none"/>
          <w:shd w:val="clear" w:color="auto" w:fill="auto"/>
          <w:lang w:eastAsia="zh-CN"/>
        </w:rPr>
        <w:t>。</w:t>
      </w:r>
      <w:r>
        <w:rPr>
          <w:rFonts w:hint="eastAsia"/>
          <w:b w:val="0"/>
          <w:bCs w:val="0"/>
          <w:highlight w:val="none"/>
          <w:shd w:val="clear" w:color="auto" w:fill="auto"/>
          <w:lang w:eastAsia="zh-CN"/>
        </w:rPr>
        <w:t>充分挖掘并盘活昌平区优质医疗资源，积极推动京津冀三地医务人员在学术研讨、技术交流、人才培养等方面的常态化互通合作，助力区域医疗服务能力整体提升。</w:t>
      </w:r>
      <w:r>
        <w:rPr>
          <w:rFonts w:hint="eastAsia"/>
          <w:highlight w:val="none"/>
          <w:shd w:val="clear" w:color="auto" w:fill="auto"/>
          <w:lang w:eastAsia="zh-CN"/>
        </w:rPr>
        <w:t>扩大异地门诊慢特病跨省直接结算范围，减轻医疗成本。</w:t>
      </w:r>
    </w:p>
    <w:p w14:paraId="6FD6AFD8">
      <w:pPr>
        <w:rPr>
          <w:rFonts w:hint="eastAsia"/>
          <w:highlight w:val="none"/>
          <w:shd w:val="clear" w:color="auto" w:fill="auto"/>
          <w:lang w:eastAsia="zh-CN"/>
        </w:rPr>
      </w:pPr>
      <w:r>
        <w:rPr>
          <w:rFonts w:hint="eastAsia"/>
          <w:b/>
          <w:bCs/>
          <w:highlight w:val="none"/>
          <w:shd w:val="clear" w:color="auto" w:fill="auto"/>
          <w:lang w:val="en-US" w:eastAsia="zh-CN"/>
        </w:rPr>
        <w:t>推动</w:t>
      </w:r>
      <w:r>
        <w:rPr>
          <w:rFonts w:hint="eastAsia"/>
          <w:b/>
          <w:bCs/>
          <w:highlight w:val="none"/>
          <w:shd w:val="clear" w:color="auto" w:fill="auto"/>
          <w:lang w:eastAsia="zh-CN"/>
        </w:rPr>
        <w:t>人社</w:t>
      </w:r>
      <w:r>
        <w:rPr>
          <w:rFonts w:hint="eastAsia"/>
          <w:b/>
          <w:bCs/>
          <w:highlight w:val="none"/>
          <w:shd w:val="clear" w:color="auto" w:fill="auto"/>
          <w:lang w:val="en-US" w:eastAsia="zh-CN"/>
        </w:rPr>
        <w:t>服务</w:t>
      </w:r>
      <w:r>
        <w:rPr>
          <w:rFonts w:hint="eastAsia"/>
          <w:b/>
          <w:bCs/>
          <w:highlight w:val="none"/>
          <w:shd w:val="clear" w:color="auto" w:fill="auto"/>
          <w:lang w:eastAsia="zh-CN"/>
        </w:rPr>
        <w:t>协同发展。</w:t>
      </w:r>
      <w:r>
        <w:rPr>
          <w:rFonts w:hint="eastAsia"/>
          <w:highlight w:val="none"/>
          <w:shd w:val="clear" w:color="auto" w:fill="auto"/>
          <w:lang w:val="en-US" w:eastAsia="zh-CN"/>
        </w:rPr>
        <w:t>落实</w:t>
      </w:r>
      <w:r>
        <w:rPr>
          <w:rFonts w:hint="eastAsia"/>
          <w:highlight w:val="none"/>
          <w:shd w:val="clear" w:color="auto" w:fill="auto"/>
          <w:lang w:eastAsia="zh-CN"/>
        </w:rPr>
        <w:t>京津冀三地社保卡居民服务“一卡通”专区</w:t>
      </w:r>
      <w:r>
        <w:rPr>
          <w:rFonts w:hint="eastAsia"/>
          <w:highlight w:val="none"/>
          <w:shd w:val="clear" w:color="auto" w:fill="auto"/>
          <w:lang w:val="en-US" w:eastAsia="zh-CN"/>
        </w:rPr>
        <w:t>建设要求</w:t>
      </w:r>
      <w:r>
        <w:rPr>
          <w:rFonts w:hint="eastAsia"/>
          <w:highlight w:val="none"/>
          <w:shd w:val="clear" w:color="auto" w:fill="auto"/>
          <w:lang w:eastAsia="zh-CN"/>
        </w:rPr>
        <w:t>，</w:t>
      </w:r>
      <w:r>
        <w:rPr>
          <w:rFonts w:hint="eastAsia"/>
          <w:highlight w:val="none"/>
          <w:shd w:val="clear" w:color="auto" w:fill="auto"/>
          <w:lang w:val="en-US" w:eastAsia="zh-CN"/>
        </w:rPr>
        <w:t>主动配合开展场景应用探索，推动</w:t>
      </w:r>
      <w:r>
        <w:rPr>
          <w:rFonts w:hint="eastAsia"/>
          <w:highlight w:val="none"/>
          <w:shd w:val="clear" w:color="auto" w:fill="auto"/>
          <w:lang w:eastAsia="zh-CN"/>
        </w:rPr>
        <w:t>在养老服务、博物馆游览等领域实现更多场景应用。持续</w:t>
      </w:r>
      <w:r>
        <w:rPr>
          <w:rFonts w:hint="eastAsia"/>
          <w:highlight w:val="none"/>
          <w:shd w:val="clear" w:color="auto" w:fill="auto"/>
          <w:lang w:val="en-US" w:eastAsia="zh-CN"/>
        </w:rPr>
        <w:t>落实</w:t>
      </w:r>
      <w:r>
        <w:rPr>
          <w:rFonts w:hint="eastAsia"/>
          <w:highlight w:val="none"/>
          <w:shd w:val="clear" w:color="auto" w:fill="auto"/>
          <w:lang w:eastAsia="zh-CN"/>
        </w:rPr>
        <w:t>京津冀社保公共服务“同事同标”事项，启动三地社保关系转移接续定期结算模式试点，为三地企业群众提供更多便利。</w:t>
      </w:r>
    </w:p>
    <w:p w14:paraId="62A15143">
      <w:pPr>
        <w:pStyle w:val="2"/>
        <w:pageBreakBefore w:val="0"/>
        <w:kinsoku/>
        <w:wordWrap/>
        <w:autoSpaceDE/>
        <w:autoSpaceDN/>
        <w:bidi w:val="0"/>
        <w:spacing w:line="560" w:lineRule="exact"/>
        <w:rPr>
          <w:rFonts w:hint="eastAsia"/>
          <w:highlight w:val="none"/>
          <w:shd w:val="clear" w:color="auto" w:fill="auto"/>
          <w:lang w:val="en-US" w:eastAsia="zh-CN"/>
        </w:rPr>
      </w:pPr>
      <w:bookmarkStart w:id="254" w:name="_Toc21469"/>
      <w:bookmarkStart w:id="255" w:name="_Toc28799"/>
      <w:bookmarkStart w:id="256" w:name="_Toc1390"/>
      <w:bookmarkStart w:id="257" w:name="_Toc25983"/>
      <w:bookmarkStart w:id="258" w:name="_Toc18188"/>
      <w:bookmarkStart w:id="259" w:name="_Toc15069"/>
      <w:bookmarkStart w:id="260" w:name="_Toc381"/>
      <w:r>
        <w:rPr>
          <w:rFonts w:hint="eastAsia"/>
          <w:highlight w:val="none"/>
          <w:lang w:val="en-US" w:eastAsia="zh-CN"/>
        </w:rPr>
        <w:t>八、保障措施</w:t>
      </w:r>
      <w:bookmarkEnd w:id="231"/>
      <w:bookmarkEnd w:id="232"/>
      <w:bookmarkEnd w:id="233"/>
      <w:bookmarkEnd w:id="234"/>
      <w:bookmarkEnd w:id="235"/>
      <w:bookmarkEnd w:id="236"/>
      <w:bookmarkEnd w:id="237"/>
      <w:bookmarkEnd w:id="238"/>
      <w:bookmarkEnd w:id="239"/>
      <w:bookmarkEnd w:id="254"/>
      <w:bookmarkEnd w:id="255"/>
      <w:bookmarkEnd w:id="256"/>
      <w:bookmarkEnd w:id="257"/>
      <w:bookmarkEnd w:id="258"/>
      <w:bookmarkEnd w:id="259"/>
      <w:bookmarkEnd w:id="260"/>
    </w:p>
    <w:p w14:paraId="28B97EC6">
      <w:pPr>
        <w:ind w:firstLine="640" w:firstLineChars="200"/>
        <w:outlineLvl w:val="9"/>
        <w:rPr>
          <w:rFonts w:hint="eastAsia" w:eastAsia="仿宋_GB2312"/>
          <w:highlight w:val="none"/>
          <w:shd w:val="clear" w:color="auto" w:fill="auto"/>
          <w:lang w:val="en-US" w:eastAsia="zh-CN"/>
        </w:rPr>
      </w:pPr>
      <w:bookmarkStart w:id="261" w:name="_Toc30506"/>
      <w:bookmarkStart w:id="262" w:name="_Toc21567"/>
      <w:bookmarkStart w:id="263" w:name="_Toc1102"/>
      <w:bookmarkStart w:id="264" w:name="_Toc8754"/>
      <w:bookmarkStart w:id="265" w:name="_Toc5129"/>
      <w:bookmarkStart w:id="266" w:name="_Toc22481"/>
      <w:bookmarkStart w:id="267" w:name="_Toc8556"/>
      <w:bookmarkStart w:id="268" w:name="_Toc19158"/>
      <w:bookmarkStart w:id="269" w:name="_Toc5794"/>
      <w:bookmarkStart w:id="270" w:name="_Toc9432"/>
      <w:r>
        <w:rPr>
          <w:rFonts w:hint="eastAsia"/>
          <w:highlight w:val="none"/>
          <w:shd w:val="clear" w:color="auto" w:fill="auto"/>
          <w:lang w:val="en-US" w:eastAsia="zh-CN"/>
        </w:rPr>
        <w:t>坚持党建引领优化营商环境工作，发挥区委区政府统筹协调作用，定期专题研判难点堵点问题，深化“党建+营商环境”建设，设立党员先锋服务阵地，健全跨部门协同联动机制，破除行政壁垒、凝聚工作合力。统筹政策、资金、技术各类要素资源，加大财政保障倾斜力度，依托数字技术赋能政务服务、监管执法与企业服务升级，建立健全营商环境动态考评与闭环管理机制，以精准考评</w:t>
      </w:r>
      <w:r>
        <w:rPr>
          <w:rFonts w:hint="default"/>
          <w:highlight w:val="none"/>
          <w:shd w:val="clear" w:color="auto" w:fill="auto"/>
          <w:lang w:val="en-US" w:eastAsia="zh-CN"/>
        </w:rPr>
        <w:t>倒逼</w:t>
      </w:r>
      <w:r>
        <w:rPr>
          <w:rFonts w:hint="eastAsia"/>
          <w:highlight w:val="none"/>
          <w:shd w:val="clear" w:color="auto" w:fill="auto"/>
          <w:lang w:val="en-US" w:eastAsia="zh-CN"/>
        </w:rPr>
        <w:t>各项举措落地见效。常态化开展分层分类营商环境专题培训，通过多元教学模式提升工作人员政策素养、业务能力与服务水平，并将培训考核结果纳入绩效体系，锻造专业化服务队伍。同时，依托全媒体平台加大营商环境政策、举措与成效宣传力度，挖掘推广特色创新案例，全方位营造人人重视、共建共享的优质营商环境浓厚氛围。</w:t>
      </w:r>
      <w:bookmarkEnd w:id="261"/>
      <w:bookmarkEnd w:id="262"/>
      <w:bookmarkEnd w:id="263"/>
      <w:bookmarkEnd w:id="264"/>
      <w:bookmarkEnd w:id="265"/>
      <w:bookmarkEnd w:id="266"/>
      <w:bookmarkEnd w:id="267"/>
      <w:bookmarkEnd w:id="268"/>
      <w:bookmarkEnd w:id="269"/>
      <w:bookmarkEnd w:id="270"/>
    </w:p>
    <w:sectPr>
      <w:footerReference r:id="rId7" w:type="default"/>
      <w:pgSz w:w="11906" w:h="16838"/>
      <w:pgMar w:top="2098" w:right="1474" w:bottom="1984" w:left="1587" w:header="850" w:footer="992" w:gutter="0"/>
      <w:pgNumType w:fmt="decimal" w:start="1"/>
      <w:cols w:space="425" w:num="1"/>
      <w:docGrid w:type="linesAndChar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Noto Sans CJK JP Bold">
    <w:panose1 w:val="020B0800000000000000"/>
    <w:charset w:val="86"/>
    <w:family w:val="auto"/>
    <w:pitch w:val="default"/>
    <w:sig w:usb0="30000003" w:usb1="2BDF3C10" w:usb2="00000016" w:usb3="00000000" w:csb0="602E0107" w:csb1="00000000"/>
  </w:font>
  <w:font w:name="思源宋体">
    <w:panose1 w:val="02020400000000000000"/>
    <w:charset w:val="86"/>
    <w:family w:val="auto"/>
    <w:pitch w:val="default"/>
    <w:sig w:usb0="30000083" w:usb1="2BDF3C10" w:usb2="00000016" w:usb3="00000000" w:csb0="602E0107" w:csb1="00000000"/>
  </w:font>
  <w:font w:name="Arial">
    <w:altName w:val="DejaVu Sans"/>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0C10">
    <w:pPr>
      <w:spacing w:after="120"/>
      <w:ind w:firstLine="5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28D44">
    <w:pPr>
      <w:spacing w:after="120"/>
      <w:ind w:left="0" w:leftChars="0" w:firstLine="0" w:firstLineChars="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D28D">
    <w:pPr>
      <w:spacing w:after="120"/>
      <w:ind w:left="0" w:leftChars="0" w:firstLine="0" w:firstLineChars="0"/>
      <w:rPr>
        <w:rFonts w:hint="eastAsia"/>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546C5">
                          <w:pPr>
                            <w:pStyle w:val="1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B7546C5">
                    <w:pPr>
                      <w:pStyle w:val="1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4">
    <w:p>
      <w:pPr>
        <w:spacing w:line="240" w:lineRule="auto"/>
        <w:ind w:firstLine="640"/>
      </w:pPr>
    </w:p>
  </w:footnote>
  <w:footnote w:type="continuationSeparator" w:id="75">
    <w:p>
      <w:pPr>
        <w:spacing w:line="240" w:lineRule="auto"/>
        <w:ind w:firstLine="640"/>
      </w:pPr>
    </w:p>
  </w:footnote>
  <w:footnote w:id="0">
    <w:p w14:paraId="1B135068">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eastAsia"/>
          <w:sz w:val="18"/>
          <w:szCs w:val="18"/>
          <w:lang w:eastAsia="zh-CN"/>
        </w:rPr>
      </w:pPr>
      <w:r>
        <w:rPr>
          <w:rStyle w:val="31"/>
          <w:sz w:val="18"/>
          <w:szCs w:val="18"/>
        </w:rPr>
        <w:footnoteRef/>
      </w:r>
      <w:r>
        <w:rPr>
          <w:rFonts w:hint="eastAsia"/>
          <w:sz w:val="18"/>
          <w:szCs w:val="18"/>
        </w:rPr>
        <w:t>中共中央办公厅国务院办公厅关于完善市场准入制度的意见</w:t>
      </w:r>
      <w:r>
        <w:rPr>
          <w:rFonts w:hint="eastAsia"/>
          <w:sz w:val="18"/>
          <w:szCs w:val="18"/>
          <w:lang w:eastAsia="zh-CN"/>
        </w:rPr>
        <w:t>。</w:t>
      </w:r>
    </w:p>
  </w:footnote>
  <w:footnote w:id="1">
    <w:p w14:paraId="49225792">
      <w:pPr>
        <w:pStyle w:val="19"/>
        <w:snapToGrid w:val="0"/>
        <w:rPr>
          <w:rFonts w:hint="eastAsia"/>
          <w:szCs w:val="18"/>
        </w:rPr>
      </w:pPr>
      <w:r>
        <w:rPr>
          <w:rStyle w:val="31"/>
          <w:sz w:val="18"/>
          <w:szCs w:val="18"/>
        </w:rPr>
        <w:footnoteRef/>
      </w:r>
      <w:r>
        <w:rPr>
          <w:szCs w:val="18"/>
        </w:rPr>
        <w:t xml:space="preserve"> </w:t>
      </w:r>
      <w:r>
        <w:rPr>
          <w:rFonts w:hint="eastAsia"/>
          <w:szCs w:val="18"/>
        </w:rPr>
        <w:t>参考杭州市做法：数据资产变“信用货币”</w:t>
      </w:r>
      <w:r>
        <w:rPr>
          <w:rFonts w:hint="eastAsia"/>
          <w:szCs w:val="18"/>
          <w:lang w:eastAsia="zh-CN"/>
        </w:rPr>
        <w:t>。</w:t>
      </w:r>
    </w:p>
  </w:footnote>
  <w:footnote w:id="2">
    <w:p w14:paraId="6101F6EC">
      <w:pPr>
        <w:pStyle w:val="19"/>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eastAsia" w:eastAsia="仿宋_GB2312"/>
          <w:b w:val="0"/>
          <w:bCs w:val="0"/>
          <w:sz w:val="18"/>
          <w:szCs w:val="18"/>
          <w:lang w:val="en-US" w:eastAsia="zh-CN"/>
        </w:rPr>
      </w:pPr>
      <w:r>
        <w:rPr>
          <w:rStyle w:val="31"/>
          <w:rFonts w:hint="eastAsia"/>
          <w:b w:val="0"/>
          <w:bCs w:val="0"/>
          <w:sz w:val="18"/>
          <w:szCs w:val="18"/>
        </w:rPr>
        <w:footnoteRef/>
      </w:r>
      <w:r>
        <w:rPr>
          <w:rFonts w:hint="eastAsia"/>
          <w:b w:val="0"/>
          <w:bCs w:val="0"/>
          <w:sz w:val="18"/>
          <w:szCs w:val="18"/>
          <w:lang w:val="en-US" w:eastAsia="zh-CN"/>
        </w:rPr>
        <w:t>产业创新发展环境座谈。</w:t>
      </w:r>
    </w:p>
  </w:footnote>
  <w:footnote w:id="3">
    <w:p w14:paraId="240F3A8D">
      <w:pPr>
        <w:pStyle w:val="19"/>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eastAsia" w:ascii="仿宋_GB2312" w:hAnsi="仿宋_GB2312" w:eastAsia="仿宋_GB2312" w:cs="仿宋_GB2312"/>
          <w:sz w:val="18"/>
          <w:szCs w:val="18"/>
          <w:lang w:eastAsia="zh-CN"/>
        </w:rPr>
      </w:pPr>
      <w:r>
        <w:rPr>
          <w:rStyle w:val="31"/>
          <w:rFonts w:hint="eastAsia" w:ascii="仿宋_GB2312" w:hAnsi="仿宋_GB2312" w:eastAsia="仿宋_GB2312" w:cs="仿宋_GB2312"/>
          <w:sz w:val="18"/>
          <w:szCs w:val="18"/>
        </w:rPr>
        <w:footnoteRef/>
      </w:r>
      <w:r>
        <w:rPr>
          <w:rFonts w:hint="eastAsia"/>
          <w:sz w:val="18"/>
          <w:szCs w:val="18"/>
          <w:lang w:val="en-US" w:eastAsia="zh-CN"/>
        </w:rPr>
        <w:t>参考</w:t>
      </w:r>
      <w:r>
        <w:rPr>
          <w:rFonts w:hint="eastAsia" w:ascii="仿宋_GB2312" w:hAnsi="仿宋_GB2312" w:eastAsia="仿宋_GB2312" w:cs="仿宋_GB2312"/>
          <w:sz w:val="18"/>
          <w:szCs w:val="18"/>
        </w:rPr>
        <w:t>哈尔滨市</w:t>
      </w:r>
      <w:r>
        <w:rPr>
          <w:rFonts w:hint="eastAsia"/>
          <w:sz w:val="18"/>
          <w:szCs w:val="18"/>
          <w:lang w:val="en-US" w:eastAsia="zh-CN"/>
        </w:rPr>
        <w:t>做法</w:t>
      </w:r>
      <w:r>
        <w:rPr>
          <w:rFonts w:hint="eastAsia" w:cs="仿宋_GB2312"/>
          <w:sz w:val="18"/>
          <w:szCs w:val="18"/>
          <w:lang w:val="en-US" w:eastAsia="zh-CN"/>
        </w:rPr>
        <w:t>：</w:t>
      </w:r>
      <w:r>
        <w:rPr>
          <w:rFonts w:hint="eastAsia" w:ascii="仿宋_GB2312" w:hAnsi="仿宋_GB2312" w:eastAsia="仿宋_GB2312" w:cs="仿宋_GB2312"/>
          <w:sz w:val="18"/>
          <w:szCs w:val="18"/>
        </w:rPr>
        <w:t>创新打造“我来发布”平台</w:t>
      </w:r>
      <w:r>
        <w:rPr>
          <w:rFonts w:hint="eastAsia" w:cs="仿宋_GB2312"/>
          <w:sz w:val="18"/>
          <w:szCs w:val="18"/>
          <w:lang w:eastAsia="zh-CN"/>
        </w:rPr>
        <w:t>。</w:t>
      </w:r>
    </w:p>
  </w:footnote>
  <w:footnote w:id="4">
    <w:p w14:paraId="4D0F226E">
      <w:pPr>
        <w:pStyle w:val="19"/>
        <w:snapToGrid w:val="0"/>
        <w:jc w:val="both"/>
        <w:rPr>
          <w:rFonts w:hint="eastAsia"/>
          <w:szCs w:val="18"/>
        </w:rPr>
      </w:pPr>
      <w:r>
        <w:rPr>
          <w:rStyle w:val="25"/>
          <w:rFonts w:hint="eastAsia"/>
          <w:sz w:val="18"/>
          <w:szCs w:val="18"/>
          <w:vertAlign w:val="superscript"/>
        </w:rPr>
        <w:footnoteRef/>
      </w:r>
      <w:r>
        <w:rPr>
          <w:rFonts w:hint="eastAsia"/>
          <w:szCs w:val="18"/>
        </w:rPr>
        <w:t>北京市人民政府办公厅关于印发《北京市推进科技成果转化落地行动方案（2025-2027年）》的通知</w:t>
      </w:r>
    </w:p>
  </w:footnote>
  <w:footnote w:id="5">
    <w:p w14:paraId="6576683C">
      <w:pPr>
        <w:pStyle w:val="19"/>
        <w:snapToGrid w:val="0"/>
        <w:spacing w:line="240" w:lineRule="auto"/>
        <w:ind w:firstLine="0" w:firstLineChars="0"/>
        <w:jc w:val="both"/>
        <w:rPr>
          <w:rFonts w:hint="eastAsia" w:eastAsia="仿宋_GB2312"/>
          <w:szCs w:val="18"/>
          <w:lang w:val="en-US" w:eastAsia="zh-CN"/>
        </w:rPr>
      </w:pPr>
      <w:r>
        <w:rPr>
          <w:rStyle w:val="25"/>
          <w:rFonts w:hint="eastAsia"/>
          <w:szCs w:val="18"/>
          <w:vertAlign w:val="superscript"/>
        </w:rPr>
        <w:footnoteRef/>
      </w:r>
      <w:r>
        <w:rPr>
          <w:rFonts w:hint="eastAsia" w:cs="仿宋_GB2312"/>
          <w:i w:val="0"/>
          <w:iCs w:val="0"/>
          <w:caps w:val="0"/>
          <w:spacing w:val="0"/>
          <w:sz w:val="18"/>
          <w:szCs w:val="18"/>
          <w:shd w:val="clear" w:fill="auto"/>
          <w:lang w:val="en-US" w:eastAsia="zh-CN"/>
        </w:rPr>
        <w:t>参考</w:t>
      </w:r>
      <w:r>
        <w:rPr>
          <w:rFonts w:hint="default" w:ascii="仿宋_GB2312" w:hAnsi="仿宋_GB2312" w:eastAsia="仿宋_GB2312" w:cs="仿宋_GB2312"/>
          <w:i w:val="0"/>
          <w:iCs w:val="0"/>
          <w:caps w:val="0"/>
          <w:spacing w:val="0"/>
          <w:sz w:val="18"/>
          <w:szCs w:val="18"/>
          <w:shd w:val="clear" w:fill="auto"/>
        </w:rPr>
        <w:t>石景山区</w:t>
      </w:r>
      <w:r>
        <w:rPr>
          <w:rFonts w:hint="eastAsia" w:cs="仿宋_GB2312"/>
          <w:i w:val="0"/>
          <w:iCs w:val="0"/>
          <w:caps w:val="0"/>
          <w:spacing w:val="0"/>
          <w:sz w:val="18"/>
          <w:szCs w:val="18"/>
          <w:shd w:val="clear" w:fill="auto"/>
          <w:lang w:val="en-US" w:eastAsia="zh-CN"/>
        </w:rPr>
        <w:t>做法：</w:t>
      </w:r>
      <w:r>
        <w:rPr>
          <w:rFonts w:hint="default" w:ascii="仿宋_GB2312" w:hAnsi="仿宋_GB2312" w:eastAsia="仿宋_GB2312" w:cs="仿宋_GB2312"/>
          <w:i w:val="0"/>
          <w:iCs w:val="0"/>
          <w:caps w:val="0"/>
          <w:spacing w:val="0"/>
          <w:sz w:val="18"/>
          <w:szCs w:val="18"/>
          <w:shd w:val="clear" w:fill="auto"/>
        </w:rPr>
        <w:t>存量产业空间更新治理优化</w:t>
      </w:r>
      <w:r>
        <w:rPr>
          <w:rFonts w:hint="eastAsia" w:cs="仿宋_GB2312"/>
          <w:i w:val="0"/>
          <w:iCs w:val="0"/>
          <w:caps w:val="0"/>
          <w:spacing w:val="0"/>
          <w:sz w:val="18"/>
          <w:szCs w:val="18"/>
          <w:shd w:val="clear" w:fill="auto"/>
          <w:lang w:eastAsia="zh-CN"/>
        </w:rPr>
        <w:t>。</w:t>
      </w:r>
    </w:p>
  </w:footnote>
  <w:footnote w:id="6">
    <w:p w14:paraId="29AC9781">
      <w:pPr>
        <w:pStyle w:val="19"/>
        <w:snapToGrid w:val="0"/>
        <w:spacing w:line="240" w:lineRule="auto"/>
        <w:ind w:firstLine="0" w:firstLineChars="0"/>
        <w:jc w:val="both"/>
        <w:rPr>
          <w:rFonts w:hint="eastAsia" w:eastAsia="仿宋_GB2312"/>
          <w:szCs w:val="18"/>
          <w:lang w:val="en-US" w:eastAsia="zh-CN"/>
        </w:rPr>
      </w:pPr>
      <w:r>
        <w:rPr>
          <w:rStyle w:val="25"/>
          <w:rFonts w:hint="eastAsia"/>
          <w:szCs w:val="18"/>
          <w:vertAlign w:val="superscript"/>
        </w:rPr>
        <w:footnoteRef/>
      </w:r>
      <w:r>
        <w:rPr>
          <w:rFonts w:hint="eastAsia"/>
          <w:szCs w:val="18"/>
          <w:lang w:val="en-US" w:eastAsia="zh-CN"/>
        </w:rPr>
        <w:t>参考</w:t>
      </w:r>
      <w:r>
        <w:rPr>
          <w:rFonts w:hint="default"/>
          <w:szCs w:val="18"/>
          <w:lang w:val="en-US" w:eastAsia="zh-CN"/>
        </w:rPr>
        <w:t>通州区</w:t>
      </w:r>
      <w:r>
        <w:rPr>
          <w:rFonts w:hint="eastAsia"/>
          <w:szCs w:val="18"/>
          <w:lang w:val="en-US" w:eastAsia="zh-CN"/>
        </w:rPr>
        <w:t>做法：</w:t>
      </w:r>
      <w:r>
        <w:rPr>
          <w:rFonts w:hint="default" w:ascii="仿宋_GB2312" w:hAnsi="仿宋_GB2312" w:eastAsia="仿宋_GB2312" w:cs="仿宋_GB2312"/>
          <w:i w:val="0"/>
          <w:iCs w:val="0"/>
          <w:caps w:val="0"/>
          <w:spacing w:val="0"/>
          <w:sz w:val="18"/>
          <w:szCs w:val="18"/>
          <w:shd w:val="clear" w:fill="auto"/>
        </w:rPr>
        <w:t>“四联机制”</w:t>
      </w:r>
      <w:r>
        <w:rPr>
          <w:rFonts w:hint="eastAsia" w:cs="仿宋_GB2312"/>
          <w:i w:val="0"/>
          <w:iCs w:val="0"/>
          <w:caps w:val="0"/>
          <w:spacing w:val="0"/>
          <w:sz w:val="18"/>
          <w:szCs w:val="18"/>
          <w:shd w:val="clear" w:fill="auto"/>
          <w:lang w:eastAsia="zh-CN"/>
        </w:rPr>
        <w:t>。</w:t>
      </w:r>
    </w:p>
  </w:footnote>
  <w:footnote w:id="7">
    <w:p w14:paraId="08B8F57E">
      <w:pPr>
        <w:pStyle w:val="19"/>
        <w:snapToGrid w:val="0"/>
        <w:spacing w:line="240" w:lineRule="auto"/>
        <w:ind w:firstLine="0" w:firstLineChars="0"/>
        <w:jc w:val="both"/>
        <w:rPr>
          <w:szCs w:val="18"/>
        </w:rPr>
      </w:pPr>
      <w:r>
        <w:rPr>
          <w:rStyle w:val="25"/>
          <w:szCs w:val="18"/>
          <w:vertAlign w:val="superscript"/>
        </w:rPr>
        <w:footnoteRef/>
      </w:r>
      <w:r>
        <w:rPr>
          <w:rFonts w:hint="eastAsia"/>
          <w:szCs w:val="18"/>
          <w:lang w:val="en-US" w:eastAsia="zh-CN"/>
        </w:rPr>
        <w:t>来自</w:t>
      </w:r>
      <w:r>
        <w:rPr>
          <w:rFonts w:hint="default" w:ascii="仿宋_GB2312" w:hAnsi="仿宋_GB2312" w:cs="仿宋_GB2312"/>
          <w:szCs w:val="18"/>
          <w:lang w:val="en-US" w:eastAsia="zh-CN"/>
        </w:rPr>
        <w:t>企业座谈</w:t>
      </w:r>
      <w:r>
        <w:rPr>
          <w:rFonts w:hint="default" w:cs="仿宋_GB2312"/>
          <w:szCs w:val="18"/>
          <w:lang w:val="en-US" w:eastAsia="zh-CN"/>
        </w:rPr>
        <w:t>反馈</w:t>
      </w:r>
      <w:r>
        <w:rPr>
          <w:rFonts w:hint="eastAsia" w:cs="仿宋_GB2312"/>
          <w:szCs w:val="18"/>
          <w:lang w:val="en-US" w:eastAsia="zh-CN"/>
        </w:rPr>
        <w:t>。</w:t>
      </w:r>
    </w:p>
  </w:footnote>
  <w:footnote w:id="8">
    <w:p w14:paraId="7BBE9040">
      <w:pPr>
        <w:pStyle w:val="19"/>
        <w:snapToGrid w:val="0"/>
        <w:rPr>
          <w:rFonts w:hint="default"/>
          <w:szCs w:val="18"/>
          <w:lang w:val="en-US"/>
        </w:rPr>
      </w:pPr>
      <w:r>
        <w:rPr>
          <w:rStyle w:val="31"/>
          <w:sz w:val="18"/>
          <w:szCs w:val="18"/>
        </w:rPr>
        <w:footnoteRef/>
      </w:r>
      <w:r>
        <w:rPr>
          <w:rFonts w:hint="eastAsia"/>
          <w:szCs w:val="18"/>
          <w:lang w:val="en-US" w:eastAsia="zh-CN"/>
        </w:rPr>
        <w:t>来自企业座谈反馈。</w:t>
      </w:r>
    </w:p>
  </w:footnote>
  <w:footnote w:id="9">
    <w:p w14:paraId="311EE761">
      <w:pPr>
        <w:pStyle w:val="19"/>
        <w:snapToGrid w:val="0"/>
        <w:spacing w:line="240" w:lineRule="auto"/>
        <w:ind w:firstLine="0" w:firstLineChars="0"/>
        <w:jc w:val="both"/>
        <w:rPr>
          <w:rFonts w:hint="eastAsia" w:eastAsia="仿宋_GB2312"/>
          <w:szCs w:val="18"/>
          <w:lang w:eastAsia="zh-CN"/>
        </w:rPr>
      </w:pPr>
      <w:r>
        <w:rPr>
          <w:rStyle w:val="25"/>
          <w:szCs w:val="18"/>
          <w:vertAlign w:val="superscript"/>
        </w:rPr>
        <w:footnoteRef/>
      </w:r>
      <w:r>
        <w:rPr>
          <w:rFonts w:hint="eastAsia"/>
          <w:szCs w:val="18"/>
          <w:lang w:val="en-US" w:eastAsia="zh-CN"/>
        </w:rPr>
        <w:t>参考朝阳丰台做法:</w:t>
      </w:r>
      <w:r>
        <w:rPr>
          <w:rFonts w:hint="default" w:ascii="仿宋_GB2312" w:hAnsi="仿宋_GB2312" w:eastAsia="仿宋_GB2312" w:cs="仿宋_GB2312"/>
          <w:i w:val="0"/>
          <w:iCs w:val="0"/>
          <w:caps w:val="0"/>
          <w:spacing w:val="0"/>
          <w:sz w:val="18"/>
          <w:szCs w:val="18"/>
          <w:shd w:val="clear" w:fill="auto"/>
        </w:rPr>
        <w:t>北京朝阳丰台两区共探生态环境监管新模式</w:t>
      </w:r>
      <w:r>
        <w:rPr>
          <w:rFonts w:hint="eastAsia" w:cs="仿宋_GB2312"/>
          <w:i w:val="0"/>
          <w:iCs w:val="0"/>
          <w:caps w:val="0"/>
          <w:spacing w:val="0"/>
          <w:sz w:val="18"/>
          <w:szCs w:val="18"/>
          <w:shd w:val="clear" w:fill="auto"/>
          <w:lang w:eastAsia="zh-CN"/>
        </w:rPr>
        <w:t>。</w:t>
      </w:r>
    </w:p>
  </w:footnote>
  <w:footnote w:id="10">
    <w:p w14:paraId="37D97530">
      <w:pPr>
        <w:pStyle w:val="19"/>
        <w:snapToGrid w:val="0"/>
      </w:pPr>
      <w:r>
        <w:rPr>
          <w:rStyle w:val="31"/>
          <w:sz w:val="18"/>
          <w:szCs w:val="18"/>
        </w:rPr>
        <w:footnoteRef/>
      </w:r>
      <w:r>
        <w:rPr>
          <w:rFonts w:hint="eastAsia"/>
          <w:szCs w:val="18"/>
          <w:lang w:eastAsia="zh-CN"/>
        </w:rPr>
        <w:t>《</w:t>
      </w:r>
      <w:r>
        <w:rPr>
          <w:rFonts w:hint="eastAsia" w:eastAsia="仿宋_GB2312"/>
          <w:szCs w:val="18"/>
          <w:lang w:eastAsia="zh-CN"/>
        </w:rPr>
        <w:t>昌平区2024年贯彻落实北京市全面优化营商环境打造“北京服务”意见的实施方案</w:t>
      </w:r>
      <w:r>
        <w:rPr>
          <w:rFonts w:hint="eastAsia"/>
          <w:szCs w:val="18"/>
          <w:lang w:eastAsia="zh-CN"/>
        </w:rPr>
        <w:t>》。</w:t>
      </w:r>
    </w:p>
  </w:footnote>
  <w:footnote w:id="11">
    <w:p w14:paraId="4FDEBC64">
      <w:pPr>
        <w:pStyle w:val="19"/>
        <w:snapToGrid w:val="0"/>
        <w:spacing w:line="240" w:lineRule="auto"/>
        <w:ind w:firstLine="0" w:firstLineChars="0"/>
        <w:jc w:val="both"/>
        <w:rPr>
          <w:szCs w:val="18"/>
        </w:rPr>
      </w:pPr>
      <w:r>
        <w:rPr>
          <w:rStyle w:val="25"/>
          <w:szCs w:val="18"/>
          <w:vertAlign w:val="superscript"/>
        </w:rPr>
        <w:footnoteRef/>
      </w:r>
      <w:r>
        <w:rPr>
          <w:rFonts w:hint="eastAsia"/>
          <w:szCs w:val="18"/>
          <w:lang w:val="en-US" w:eastAsia="zh-CN"/>
        </w:rPr>
        <w:t>参考海淀区做法：动态优化“无事不扰”清单企业库（《北京市人民政府办公厅关于严格规范涉企行政检查的实施意见》新闻发布会）。</w:t>
      </w:r>
    </w:p>
  </w:footnote>
  <w:footnote w:id="12">
    <w:p w14:paraId="0A606FD7">
      <w:pPr>
        <w:pStyle w:val="19"/>
        <w:snapToGrid w:val="0"/>
        <w:spacing w:line="240" w:lineRule="auto"/>
        <w:ind w:firstLine="0" w:firstLineChars="0"/>
        <w:jc w:val="both"/>
        <w:rPr>
          <w:rFonts w:hint="eastAsia" w:eastAsia="仿宋_GB2312"/>
          <w:szCs w:val="18"/>
          <w:lang w:val="en-US" w:eastAsia="zh-CN"/>
        </w:rPr>
      </w:pPr>
      <w:r>
        <w:rPr>
          <w:rStyle w:val="25"/>
          <w:rFonts w:hint="eastAsia"/>
          <w:szCs w:val="18"/>
          <w:vertAlign w:val="superscript"/>
        </w:rPr>
        <w:footnoteRef/>
      </w:r>
      <w:r>
        <w:rPr>
          <w:rFonts w:hint="eastAsia"/>
          <w:szCs w:val="18"/>
          <w:lang w:val="en-US" w:eastAsia="zh-CN"/>
        </w:rPr>
        <w:t>参考浙江做法：杭州市余杭区创新推行“执法+服务”双预约监管模式。</w:t>
      </w:r>
    </w:p>
  </w:footnote>
  <w:footnote w:id="13">
    <w:p w14:paraId="29BA74A3">
      <w:pPr>
        <w:pStyle w:val="19"/>
        <w:snapToGrid w:val="0"/>
        <w:spacing w:line="240" w:lineRule="auto"/>
        <w:ind w:firstLine="0" w:firstLineChars="0"/>
        <w:jc w:val="both"/>
        <w:rPr>
          <w:szCs w:val="18"/>
        </w:rPr>
      </w:pPr>
      <w:r>
        <w:rPr>
          <w:rStyle w:val="25"/>
          <w:szCs w:val="18"/>
          <w:vertAlign w:val="superscript"/>
        </w:rPr>
        <w:footnoteRef/>
      </w:r>
      <w:r>
        <w:rPr>
          <w:rFonts w:hint="default" w:ascii="仿宋_GB2312" w:hAnsi="仿宋_GB2312" w:cs="仿宋_GB2312"/>
          <w:szCs w:val="18"/>
          <w:lang w:val="en-US" w:eastAsia="zh-CN"/>
        </w:rPr>
        <w:t>《关于昌平区优化营商环境2024年工作完成情况及2025年工作部署情况的汇报》</w:t>
      </w:r>
      <w:r>
        <w:rPr>
          <w:rFonts w:hint="eastAsia" w:cs="仿宋_GB2312"/>
          <w:szCs w:val="18"/>
          <w:lang w:val="en-US" w:eastAsia="zh-CN"/>
        </w:rPr>
        <w:t>。</w:t>
      </w:r>
    </w:p>
  </w:footnote>
  <w:footnote w:id="14">
    <w:p w14:paraId="6E3CCD6E">
      <w:pPr>
        <w:pStyle w:val="19"/>
        <w:snapToGrid w:val="0"/>
        <w:rPr>
          <w:rFonts w:hint="eastAsia" w:eastAsia="仿宋_GB2312"/>
          <w:lang w:eastAsia="zh-CN"/>
        </w:rPr>
      </w:pPr>
      <w:r>
        <w:rPr>
          <w:rStyle w:val="31"/>
          <w:sz w:val="18"/>
          <w:szCs w:val="18"/>
        </w:rPr>
        <w:footnoteRef/>
      </w:r>
      <w:r>
        <w:rPr>
          <w:rFonts w:hint="eastAsia"/>
          <w:szCs w:val="18"/>
          <w:lang w:eastAsia="zh-CN"/>
        </w:rPr>
        <w:t>《</w:t>
      </w:r>
      <w:r>
        <w:t>昌平区2024年贯彻落实北京市全面优化营商环境打造“北京服务”意见的实施方案</w:t>
      </w:r>
      <w:r>
        <w:rPr>
          <w:rFonts w:hint="eastAsia"/>
          <w:lang w:eastAsia="zh-CN"/>
        </w:rPr>
        <w:t>》。</w:t>
      </w:r>
    </w:p>
  </w:footnote>
  <w:footnote w:id="15">
    <w:p w14:paraId="70E4B49A">
      <w:pPr>
        <w:pStyle w:val="19"/>
        <w:widowControl/>
        <w:adjustRightInd/>
        <w:snapToGrid w:val="0"/>
        <w:spacing w:line="240" w:lineRule="auto"/>
        <w:ind w:firstLine="0" w:firstLineChars="0"/>
        <w:jc w:val="both"/>
        <w:rPr>
          <w:rFonts w:hint="default" w:eastAsia="仿宋_GB2312"/>
          <w:szCs w:val="18"/>
          <w:lang w:val="en-US" w:eastAsia="zh-CN"/>
        </w:rPr>
      </w:pPr>
      <w:r>
        <w:rPr>
          <w:rStyle w:val="25"/>
          <w:szCs w:val="18"/>
          <w:vertAlign w:val="superscript"/>
        </w:rPr>
        <w:footnoteRef/>
      </w:r>
      <w:r>
        <w:rPr>
          <w:rFonts w:hint="default"/>
          <w:szCs w:val="18"/>
          <w:lang w:val="en-US" w:eastAsia="zh-CN"/>
        </w:rPr>
        <w:t>参考四川做法：“政策解读人”</w:t>
      </w:r>
      <w:r>
        <w:rPr>
          <w:rFonts w:hint="eastAsia"/>
          <w:szCs w:val="18"/>
          <w:lang w:val="en-US" w:eastAsia="zh-CN"/>
        </w:rPr>
        <w:t>。</w:t>
      </w:r>
    </w:p>
  </w:footnote>
  <w:footnote w:id="16">
    <w:p w14:paraId="754A4574">
      <w:pPr>
        <w:pStyle w:val="19"/>
        <w:snapToGrid w:val="0"/>
        <w:spacing w:line="240" w:lineRule="auto"/>
        <w:ind w:firstLine="0" w:firstLineChars="0"/>
        <w:jc w:val="both"/>
        <w:rPr>
          <w:rFonts w:hint="eastAsia" w:eastAsia="仿宋_GB2312"/>
          <w:szCs w:val="18"/>
          <w:lang w:val="en-US" w:eastAsia="zh-CN"/>
        </w:rPr>
      </w:pPr>
      <w:r>
        <w:rPr>
          <w:rStyle w:val="25"/>
          <w:szCs w:val="18"/>
          <w:vertAlign w:val="superscript"/>
        </w:rPr>
        <w:footnoteRef/>
      </w:r>
      <w:r>
        <w:rPr>
          <w:rFonts w:hint="eastAsia"/>
          <w:szCs w:val="18"/>
          <w:lang w:val="en-US" w:eastAsia="zh-CN"/>
        </w:rPr>
        <w:t>参考浙江做法：</w:t>
      </w:r>
      <w:r>
        <w:rPr>
          <w:rFonts w:hint="default"/>
          <w:szCs w:val="18"/>
          <w:lang w:val="en-US" w:eastAsia="zh-CN"/>
        </w:rPr>
        <w:t>宁波市</w:t>
      </w:r>
      <w:r>
        <w:rPr>
          <w:rFonts w:hint="default" w:ascii="仿宋_GB2312" w:hAnsi="仿宋_GB2312" w:eastAsia="仿宋_GB2312" w:cs="仿宋_GB2312"/>
          <w:i w:val="0"/>
          <w:iCs w:val="0"/>
          <w:caps w:val="0"/>
          <w:spacing w:val="0"/>
          <w:sz w:val="18"/>
          <w:szCs w:val="18"/>
          <w:shd w:val="clear" w:fill="auto"/>
        </w:rPr>
        <w:t>“慧企千问”智能客服</w:t>
      </w:r>
      <w:r>
        <w:rPr>
          <w:rFonts w:hint="eastAsia" w:cs="仿宋_GB2312"/>
          <w:i w:val="0"/>
          <w:iCs w:val="0"/>
          <w:caps w:val="0"/>
          <w:spacing w:val="0"/>
          <w:sz w:val="18"/>
          <w:szCs w:val="18"/>
          <w:shd w:val="clear" w:fill="auto"/>
          <w:lang w:eastAsia="zh-CN"/>
        </w:rPr>
        <w:t>。</w:t>
      </w:r>
    </w:p>
  </w:footnote>
  <w:footnote w:id="17">
    <w:p w14:paraId="5D087BAB">
      <w:pPr>
        <w:pStyle w:val="19"/>
        <w:snapToGrid w:val="0"/>
        <w:spacing w:line="240" w:lineRule="auto"/>
        <w:ind w:firstLine="0" w:firstLineChars="0"/>
        <w:jc w:val="both"/>
        <w:rPr>
          <w:szCs w:val="18"/>
        </w:rPr>
      </w:pPr>
      <w:r>
        <w:rPr>
          <w:rStyle w:val="25"/>
          <w:szCs w:val="18"/>
          <w:vertAlign w:val="superscript"/>
        </w:rPr>
        <w:footnoteRef/>
      </w:r>
      <w:r>
        <w:rPr>
          <w:rFonts w:hint="eastAsia"/>
          <w:szCs w:val="18"/>
          <w:lang w:val="en-US" w:eastAsia="zh-CN"/>
        </w:rPr>
        <w:t>参考经开区做法：</w:t>
      </w:r>
      <w:r>
        <w:rPr>
          <w:rFonts w:hint="default" w:ascii="仿宋_GB2312" w:hAnsi="仿宋_GB2312" w:cs="仿宋_GB2312"/>
          <w:szCs w:val="18"/>
          <w:lang w:val="en-US" w:eastAsia="zh-CN"/>
        </w:rPr>
        <w:t>北京经开区发布高频政务服务事项清单</w:t>
      </w:r>
      <w:r>
        <w:rPr>
          <w:rFonts w:hint="eastAsia" w:cs="仿宋_GB2312"/>
          <w:szCs w:val="18"/>
          <w:lang w:val="en-US" w:eastAsia="zh-CN"/>
        </w:rPr>
        <w:t>。</w:t>
      </w:r>
    </w:p>
  </w:footnote>
  <w:footnote w:id="18">
    <w:p w14:paraId="0002BA31">
      <w:pPr>
        <w:pStyle w:val="19"/>
        <w:snapToGrid w:val="0"/>
        <w:rPr>
          <w:rFonts w:hint="eastAsia" w:eastAsia="仿宋_GB2312"/>
          <w:lang w:eastAsia="zh-CN"/>
        </w:rPr>
      </w:pPr>
      <w:r>
        <w:rPr>
          <w:rStyle w:val="31"/>
          <w:rFonts w:cs="Times New Roman"/>
          <w:sz w:val="18"/>
          <w:szCs w:val="18"/>
        </w:rPr>
        <w:footnoteRef/>
      </w:r>
      <w:r>
        <w:rPr>
          <w:rFonts w:hint="eastAsia"/>
          <w:lang w:val="en-US" w:eastAsia="zh-CN"/>
        </w:rPr>
        <w:t>参考</w:t>
      </w:r>
      <w:r>
        <w:t>山东省青岛市</w:t>
      </w:r>
      <w:r>
        <w:rPr>
          <w:rFonts w:hint="eastAsia"/>
          <w:lang w:val="en-US" w:eastAsia="zh-CN"/>
        </w:rPr>
        <w:t>做法：青岛市</w:t>
      </w:r>
      <w:r>
        <w:t>全力打造</w:t>
      </w:r>
      <w:r>
        <w:rPr>
          <w:rFonts w:hint="default"/>
        </w:rPr>
        <w:t>“市政公用报装一件事”主题服务</w:t>
      </w:r>
      <w:r>
        <w:rPr>
          <w:rFonts w:hint="eastAsia"/>
          <w:lang w:eastAsia="zh-CN"/>
        </w:rPr>
        <w:t>。</w:t>
      </w:r>
    </w:p>
  </w:footnote>
  <w:footnote w:id="19">
    <w:p w14:paraId="5DEFEB0E">
      <w:pPr>
        <w:pStyle w:val="19"/>
        <w:snapToGrid w:val="0"/>
        <w:rPr>
          <w:rFonts w:hint="eastAsia" w:eastAsia="仿宋_GB2312"/>
          <w:lang w:eastAsia="zh-CN"/>
        </w:rPr>
      </w:pPr>
      <w:r>
        <w:rPr>
          <w:rStyle w:val="31"/>
          <w:rFonts w:cs="Times New Roman"/>
          <w:sz w:val="18"/>
          <w:szCs w:val="18"/>
        </w:rPr>
        <w:footnoteRef/>
      </w:r>
      <w:r>
        <w:rPr>
          <w:rFonts w:hint="eastAsia"/>
          <w:lang w:eastAsia="zh-CN"/>
        </w:rPr>
        <w:t>《</w:t>
      </w:r>
      <w:r>
        <w:rPr>
          <w:rFonts w:hint="eastAsia"/>
        </w:rPr>
        <w:t>昌平区2025年优化营商环境“宜商十条”</w:t>
      </w:r>
      <w:r>
        <w:rPr>
          <w:rFonts w:hint="eastAsia"/>
          <w:lang w:eastAsia="zh-CN"/>
        </w:rPr>
        <w:t>》。</w:t>
      </w:r>
    </w:p>
  </w:footnote>
  <w:footnote w:id="20">
    <w:p w14:paraId="75122D82">
      <w:pPr>
        <w:pStyle w:val="19"/>
        <w:snapToGrid w:val="0"/>
        <w:rPr>
          <w:rFonts w:hint="default" w:eastAsia="仿宋_GB2312"/>
          <w:lang w:val="en-US" w:eastAsia="zh-CN"/>
        </w:rPr>
      </w:pPr>
      <w:r>
        <w:rPr>
          <w:rStyle w:val="31"/>
          <w:rFonts w:cs="Times New Roman"/>
          <w:sz w:val="18"/>
          <w:szCs w:val="18"/>
        </w:rPr>
        <w:footnoteRef/>
      </w:r>
      <w:r>
        <w:rPr>
          <w:rFonts w:hint="default" w:ascii="仿宋_GB2312" w:hAnsi="仿宋_GB2312" w:cs="仿宋_GB2312"/>
          <w:szCs w:val="18"/>
          <w:lang w:val="en-US" w:eastAsia="zh-CN"/>
        </w:rPr>
        <w:t>2024年营商环境评价问题</w:t>
      </w:r>
      <w:r>
        <w:rPr>
          <w:rFonts w:hint="eastAsia" w:ascii="仿宋_GB2312" w:hAnsi="仿宋_GB2312" w:cs="仿宋_GB2312"/>
          <w:szCs w:val="18"/>
          <w:lang w:val="en-US" w:eastAsia="zh-CN"/>
        </w:rPr>
        <w:t>。</w:t>
      </w:r>
    </w:p>
  </w:footnote>
  <w:footnote w:id="21">
    <w:p w14:paraId="0B3E581C">
      <w:pPr>
        <w:pStyle w:val="19"/>
        <w:snapToGrid w:val="0"/>
        <w:rPr>
          <w:rFonts w:hint="eastAsia" w:eastAsia="仿宋_GB2312"/>
          <w:lang w:val="en-US" w:eastAsia="zh-CN"/>
        </w:rPr>
      </w:pPr>
      <w:r>
        <w:rPr>
          <w:rStyle w:val="31"/>
          <w:sz w:val="18"/>
          <w:szCs w:val="18"/>
        </w:rPr>
        <w:footnoteRef/>
      </w:r>
      <w:r>
        <w:rPr>
          <w:rFonts w:hint="eastAsia"/>
          <w:lang w:val="en-US" w:eastAsia="zh-CN"/>
        </w:rPr>
        <w:t>《昌平区2024年贯彻落实北京市全面优化营商环境打造“北京服务”意见的实施方案》。</w:t>
      </w:r>
    </w:p>
  </w:footnote>
  <w:footnote w:id="22">
    <w:p w14:paraId="6FCC5095">
      <w:pPr>
        <w:pStyle w:val="19"/>
        <w:snapToGrid w:val="0"/>
        <w:spacing w:line="240" w:lineRule="auto"/>
        <w:ind w:firstLine="0" w:firstLineChars="0"/>
        <w:jc w:val="both"/>
        <w:rPr>
          <w:rFonts w:hint="default" w:eastAsia="仿宋_GB2312"/>
          <w:szCs w:val="18"/>
          <w:lang w:eastAsia="zh-CN"/>
        </w:rPr>
      </w:pPr>
      <w:r>
        <w:rPr>
          <w:rStyle w:val="25"/>
          <w:szCs w:val="18"/>
          <w:vertAlign w:val="superscript"/>
        </w:rPr>
        <w:footnoteRef/>
      </w:r>
      <w:r>
        <w:rPr>
          <w:rFonts w:hint="default"/>
          <w:szCs w:val="18"/>
          <w:lang w:eastAsia="zh-CN"/>
        </w:rPr>
        <w:t>《上海市加快“人工智能+政务服务”改革推动“高效办成一件事”实施方案》</w:t>
      </w:r>
      <w:r>
        <w:rPr>
          <w:rFonts w:hint="eastAsia"/>
          <w:szCs w:val="18"/>
          <w:lang w:eastAsia="zh-CN"/>
        </w:rPr>
        <w:t>。</w:t>
      </w:r>
    </w:p>
  </w:footnote>
  <w:footnote w:id="23">
    <w:p w14:paraId="3672F6D6">
      <w:pPr>
        <w:pStyle w:val="19"/>
        <w:snapToGrid w:val="0"/>
        <w:rPr>
          <w:rFonts w:hint="default" w:eastAsia="仿宋_GB2312"/>
          <w:lang w:val="en-US" w:eastAsia="zh-CN"/>
        </w:rPr>
      </w:pPr>
      <w:r>
        <w:rPr>
          <w:rStyle w:val="31"/>
          <w:sz w:val="18"/>
          <w:szCs w:val="18"/>
        </w:rPr>
        <w:footnoteRef/>
      </w:r>
      <w:r>
        <w:rPr>
          <w:rFonts w:hint="eastAsia"/>
          <w:lang w:val="en-US" w:eastAsia="zh-CN"/>
        </w:rPr>
        <w:t>参考海淀区做法：《2025年海淀区优化营商环境、促企“降本增效”工作方案》。</w:t>
      </w:r>
    </w:p>
  </w:footnote>
  <w:footnote w:id="24">
    <w:p w14:paraId="27F21627">
      <w:pPr>
        <w:pStyle w:val="19"/>
        <w:snapToGrid w:val="0"/>
        <w:spacing w:line="240" w:lineRule="auto"/>
        <w:ind w:firstLine="0" w:firstLineChars="0"/>
        <w:jc w:val="both"/>
        <w:rPr>
          <w:szCs w:val="18"/>
        </w:rPr>
      </w:pPr>
      <w:r>
        <w:rPr>
          <w:rStyle w:val="25"/>
          <w:szCs w:val="18"/>
          <w:vertAlign w:val="superscript"/>
        </w:rPr>
        <w:footnoteRef/>
      </w:r>
      <w:r>
        <w:rPr>
          <w:rFonts w:hint="default" w:ascii="仿宋_GB2312" w:hAnsi="仿宋_GB2312" w:cs="仿宋_GB2312"/>
          <w:szCs w:val="18"/>
          <w:lang w:val="en-US" w:eastAsia="zh-CN"/>
        </w:rPr>
        <w:t>《关于昌平区2024年优化营商环境助力企业高质量发展工作开展情况的汇报》</w:t>
      </w:r>
      <w:r>
        <w:rPr>
          <w:rFonts w:hint="eastAsia" w:cs="仿宋_GB2312"/>
          <w:szCs w:val="18"/>
          <w:lang w:val="en-US" w:eastAsia="zh-CN"/>
        </w:rPr>
        <w:t>。</w:t>
      </w:r>
    </w:p>
  </w:footnote>
  <w:footnote w:id="25">
    <w:p w14:paraId="5EE5ACEE">
      <w:pPr>
        <w:pStyle w:val="19"/>
        <w:snapToGrid w:val="0"/>
        <w:spacing w:line="240" w:lineRule="auto"/>
        <w:ind w:firstLine="0" w:firstLineChars="0"/>
        <w:jc w:val="both"/>
        <w:rPr>
          <w:szCs w:val="18"/>
        </w:rPr>
      </w:pPr>
      <w:r>
        <w:rPr>
          <w:rStyle w:val="25"/>
          <w:szCs w:val="18"/>
          <w:vertAlign w:val="superscript"/>
        </w:rPr>
        <w:footnoteRef/>
      </w:r>
      <w:r>
        <w:rPr>
          <w:rFonts w:hint="eastAsia"/>
          <w:szCs w:val="18"/>
          <w:lang w:val="en-US" w:eastAsia="zh-CN"/>
        </w:rPr>
        <w:t>参考</w:t>
      </w:r>
      <w:r>
        <w:rPr>
          <w:rFonts w:hint="default" w:ascii="仿宋_GB2312" w:hAnsi="仿宋_GB2312" w:cs="仿宋_GB2312"/>
          <w:szCs w:val="18"/>
          <w:lang w:val="en-US" w:eastAsia="zh-CN"/>
        </w:rPr>
        <w:t>丰台</w:t>
      </w:r>
      <w:r>
        <w:rPr>
          <w:rFonts w:hint="eastAsia" w:cs="仿宋_GB2312"/>
          <w:szCs w:val="18"/>
          <w:lang w:val="en-US" w:eastAsia="zh-CN"/>
        </w:rPr>
        <w:t>区做法：建立</w:t>
      </w:r>
      <w:r>
        <w:rPr>
          <w:rFonts w:hint="default" w:ascii="仿宋_GB2312" w:hAnsi="仿宋_GB2312" w:cs="仿宋_GB2312"/>
          <w:szCs w:val="18"/>
          <w:lang w:val="en-US" w:eastAsia="zh-CN"/>
        </w:rPr>
        <w:t>企业用户空间</w:t>
      </w:r>
      <w:r>
        <w:rPr>
          <w:rFonts w:hint="eastAsia" w:cs="仿宋_GB2312"/>
          <w:szCs w:val="18"/>
          <w:lang w:val="en-US" w:eastAsia="zh-CN"/>
        </w:rPr>
        <w:t>。</w:t>
      </w:r>
    </w:p>
  </w:footnote>
  <w:footnote w:id="26">
    <w:p w14:paraId="631B4170">
      <w:pPr>
        <w:pStyle w:val="19"/>
        <w:snapToGrid w:val="0"/>
        <w:spacing w:line="240" w:lineRule="auto"/>
        <w:ind w:firstLine="0" w:firstLineChars="0"/>
        <w:jc w:val="both"/>
        <w:rPr>
          <w:rFonts w:hint="eastAsia" w:eastAsia="仿宋_GB2312"/>
          <w:sz w:val="18"/>
          <w:szCs w:val="18"/>
          <w:lang w:eastAsia="zh-CN"/>
        </w:rPr>
      </w:pPr>
      <w:r>
        <w:rPr>
          <w:rStyle w:val="31"/>
          <w:sz w:val="18"/>
          <w:szCs w:val="18"/>
        </w:rPr>
        <w:footnoteRef/>
      </w:r>
      <w:r>
        <w:rPr>
          <w:sz w:val="18"/>
          <w:szCs w:val="18"/>
        </w:rPr>
        <w:t>《北京市全面优化营商环境打造国际一流“北京服务”工作要点（2025年）》</w:t>
      </w:r>
      <w:r>
        <w:rPr>
          <w:rFonts w:hint="eastAsia"/>
          <w:sz w:val="18"/>
          <w:szCs w:val="18"/>
          <w:lang w:eastAsia="zh-CN"/>
        </w:rPr>
        <w:t>。</w:t>
      </w:r>
    </w:p>
  </w:footnote>
  <w:footnote w:id="27">
    <w:p w14:paraId="4145B459">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eastAsia" w:eastAsia="仿宋_GB2312"/>
          <w:sz w:val="18"/>
          <w:szCs w:val="18"/>
          <w:lang w:eastAsia="zh-CN"/>
        </w:rPr>
      </w:pPr>
      <w:r>
        <w:rPr>
          <w:rStyle w:val="31"/>
          <w:rFonts w:hint="eastAsia"/>
          <w:sz w:val="18"/>
          <w:szCs w:val="18"/>
        </w:rPr>
        <w:footnoteRef/>
      </w:r>
      <w:r>
        <w:rPr>
          <w:rFonts w:hint="eastAsia"/>
          <w:sz w:val="18"/>
          <w:szCs w:val="18"/>
        </w:rPr>
        <w:t>参考苏州做法：企业出海一件事平台</w:t>
      </w:r>
      <w:r>
        <w:rPr>
          <w:rFonts w:hint="eastAsia"/>
          <w:sz w:val="18"/>
          <w:szCs w:val="18"/>
          <w:lang w:eastAsia="zh-CN"/>
        </w:rPr>
        <w:t>。</w:t>
      </w:r>
    </w:p>
  </w:footnote>
  <w:footnote w:id="28">
    <w:p w14:paraId="5CF83B0C">
      <w:pPr>
        <w:pStyle w:val="19"/>
        <w:snapToGrid w:val="0"/>
        <w:rPr>
          <w:rFonts w:hint="eastAsia" w:eastAsia="仿宋_GB2312"/>
          <w:lang w:eastAsia="zh-CN"/>
        </w:rPr>
      </w:pPr>
      <w:r>
        <w:rPr>
          <w:rStyle w:val="31"/>
          <w:sz w:val="18"/>
          <w:szCs w:val="18"/>
        </w:rPr>
        <w:footnoteRef/>
      </w:r>
      <w:r>
        <w:rPr>
          <w:rFonts w:hint="eastAsia"/>
          <w:sz w:val="18"/>
          <w:szCs w:val="18"/>
          <w:lang w:val="en-US" w:eastAsia="zh-CN"/>
        </w:rPr>
        <w:t>参考浙江做法：</w:t>
      </w:r>
      <w:r>
        <w:rPr>
          <w:rFonts w:hint="eastAsia"/>
        </w:rPr>
        <w:t>全国首单教育数据资产入表落地浙江诸暨</w:t>
      </w:r>
      <w:r>
        <w:rPr>
          <w:rFonts w:hint="eastAsia"/>
          <w:lang w:eastAsia="zh-CN"/>
        </w:rPr>
        <w:t>。</w:t>
      </w:r>
    </w:p>
  </w:footnote>
  <w:footnote w:id="29">
    <w:p w14:paraId="2DFAB2A8">
      <w:pPr>
        <w:pStyle w:val="19"/>
        <w:widowControl/>
        <w:adjustRightInd/>
        <w:snapToGrid w:val="0"/>
        <w:spacing w:line="240" w:lineRule="auto"/>
        <w:ind w:firstLine="0" w:firstLineChars="0"/>
        <w:jc w:val="both"/>
        <w:rPr>
          <w:rFonts w:hint="default" w:ascii="仿宋_GB2312" w:hAnsi="仿宋_GB2312" w:cs="仿宋_GB2312"/>
          <w:szCs w:val="18"/>
          <w:lang w:val="en-US" w:eastAsia="zh-CN"/>
        </w:rPr>
      </w:pPr>
      <w:r>
        <w:rPr>
          <w:rStyle w:val="25"/>
          <w:szCs w:val="18"/>
          <w:vertAlign w:val="superscript"/>
        </w:rPr>
        <w:footnoteRef/>
      </w:r>
      <w:r>
        <w:rPr>
          <w:rFonts w:hint="default" w:ascii="仿宋_GB2312" w:hAnsi="仿宋_GB2312" w:cs="仿宋_GB2312"/>
          <w:szCs w:val="18"/>
          <w:lang w:val="en-US" w:eastAsia="zh-CN"/>
        </w:rPr>
        <w:t>来自企业座谈反馈问题</w:t>
      </w:r>
      <w:r>
        <w:rPr>
          <w:rFonts w:hint="eastAsia" w:cs="仿宋_GB2312"/>
          <w:szCs w:val="18"/>
          <w:lang w:val="en-US" w:eastAsia="zh-CN"/>
        </w:rPr>
        <w:t>。</w:t>
      </w:r>
    </w:p>
  </w:footnote>
  <w:footnote w:id="30">
    <w:p w14:paraId="11B7A19E">
      <w:pPr>
        <w:pStyle w:val="19"/>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eastAsia" w:eastAsia="仿宋_GB2312"/>
          <w:sz w:val="18"/>
          <w:szCs w:val="18"/>
          <w:lang w:eastAsia="zh-CN"/>
        </w:rPr>
      </w:pPr>
      <w:r>
        <w:rPr>
          <w:rStyle w:val="31"/>
          <w:rFonts w:hint="eastAsia"/>
          <w:sz w:val="18"/>
          <w:szCs w:val="18"/>
        </w:rPr>
        <w:footnoteRef/>
      </w:r>
      <w:r>
        <w:rPr>
          <w:rFonts w:hint="eastAsia"/>
          <w:sz w:val="18"/>
          <w:szCs w:val="18"/>
        </w:rPr>
        <w:t>《北京市推动旅游业高质量发展的实施意见》</w:t>
      </w:r>
      <w:r>
        <w:rPr>
          <w:rFonts w:hint="eastAsia"/>
          <w:sz w:val="18"/>
          <w:szCs w:val="18"/>
          <w:lang w:eastAsia="zh-CN"/>
        </w:rPr>
        <w:t>。</w:t>
      </w:r>
    </w:p>
  </w:footnote>
  <w:footnote w:id="31">
    <w:p w14:paraId="08E5AA27">
      <w:pPr>
        <w:pStyle w:val="19"/>
        <w:spacing w:line="240" w:lineRule="auto"/>
        <w:ind w:firstLine="0" w:firstLineChars="0"/>
        <w:jc w:val="both"/>
        <w:rPr>
          <w:rFonts w:hint="eastAsia" w:eastAsia="仿宋_GB2312"/>
          <w:sz w:val="18"/>
          <w:szCs w:val="18"/>
          <w:lang w:eastAsia="zh-CN"/>
        </w:rPr>
      </w:pPr>
      <w:r>
        <w:rPr>
          <w:rStyle w:val="31"/>
          <w:rFonts w:hint="eastAsia"/>
          <w:sz w:val="18"/>
          <w:szCs w:val="18"/>
        </w:rPr>
        <w:footnoteRef/>
      </w:r>
      <w:r>
        <w:rPr>
          <w:rFonts w:hint="eastAsia"/>
          <w:sz w:val="18"/>
          <w:szCs w:val="18"/>
          <w:lang w:val="en-US" w:eastAsia="zh-CN"/>
        </w:rPr>
        <w:t>参考上海做法：</w:t>
      </w:r>
      <w:r>
        <w:rPr>
          <w:rFonts w:hint="eastAsia"/>
          <w:sz w:val="18"/>
          <w:szCs w:val="18"/>
        </w:rPr>
        <w:t>上海豫园围绕“豫园中国节”打造文化IP</w:t>
      </w:r>
      <w:r>
        <w:rPr>
          <w:rFonts w:hint="eastAsia"/>
          <w:sz w:val="18"/>
          <w:szCs w:val="18"/>
          <w:lang w:eastAsia="zh-CN"/>
        </w:rPr>
        <w:t>。</w:t>
      </w:r>
    </w:p>
  </w:footnote>
  <w:footnote w:id="32">
    <w:p w14:paraId="772EB70D">
      <w:pPr>
        <w:pStyle w:val="19"/>
        <w:snapToGrid w:val="0"/>
        <w:rPr>
          <w:rFonts w:hint="eastAsia" w:eastAsia="仿宋_GB2312"/>
          <w:lang w:eastAsia="zh-CN"/>
        </w:rPr>
      </w:pPr>
      <w:r>
        <w:rPr>
          <w:rStyle w:val="31"/>
          <w:sz w:val="18"/>
          <w:szCs w:val="18"/>
        </w:rPr>
        <w:footnoteRef/>
      </w:r>
      <w:r>
        <w:rPr>
          <w:rFonts w:hint="eastAsia"/>
          <w:sz w:val="18"/>
          <w:szCs w:val="18"/>
          <w:lang w:val="en-US" w:eastAsia="zh-CN"/>
        </w:rPr>
        <w:t>参考</w:t>
      </w:r>
      <w:r>
        <w:rPr>
          <w:rFonts w:hint="eastAsia"/>
        </w:rPr>
        <w:t>上海</w:t>
      </w:r>
      <w:r>
        <w:rPr>
          <w:rFonts w:hint="eastAsia"/>
          <w:lang w:val="en-US" w:eastAsia="zh-CN"/>
        </w:rPr>
        <w:t>做法：上海</w:t>
      </w:r>
      <w:r>
        <w:rPr>
          <w:rFonts w:hint="eastAsia"/>
        </w:rPr>
        <w:t>重磅发布促进服务业创新发展新政</w:t>
      </w:r>
      <w:r>
        <w:rPr>
          <w:rFonts w:hint="eastAsia"/>
          <w:lang w:eastAsia="zh-CN"/>
        </w:rPr>
        <w:t>，</w:t>
      </w:r>
      <w:r>
        <w:rPr>
          <w:rFonts w:hint="eastAsia"/>
        </w:rPr>
        <w:t>鼓励办赛创新打造</w:t>
      </w:r>
      <w:r>
        <w:rPr>
          <w:rFonts w:hint="eastAsia"/>
          <w:lang w:eastAsia="zh-CN"/>
        </w:rPr>
        <w:t>“</w:t>
      </w:r>
      <w:r>
        <w:rPr>
          <w:rFonts w:hint="eastAsia"/>
          <w:lang w:val="en-US" w:eastAsia="zh-CN"/>
        </w:rPr>
        <w:t>体育+</w:t>
      </w:r>
      <w:r>
        <w:rPr>
          <w:rFonts w:hint="eastAsia"/>
          <w:lang w:eastAsia="zh-CN"/>
        </w:rPr>
        <w:t>”。</w:t>
      </w:r>
    </w:p>
    <w:p w14:paraId="621447CC">
      <w:pPr>
        <w:pStyle w:val="19"/>
        <w:snapToGrid w:val="0"/>
      </w:pPr>
    </w:p>
  </w:footnote>
  <w:footnote w:id="33">
    <w:p w14:paraId="0C1B3792">
      <w:pPr>
        <w:pStyle w:val="19"/>
        <w:snapToGrid w:val="0"/>
      </w:pPr>
      <w:r>
        <w:rPr>
          <w:rStyle w:val="31"/>
          <w:sz w:val="18"/>
          <w:szCs w:val="18"/>
        </w:rPr>
        <w:footnoteRef/>
      </w:r>
      <w:r>
        <w:rPr>
          <w:rFonts w:hint="eastAsia"/>
          <w:lang w:val="en-US" w:eastAsia="zh-CN"/>
        </w:rPr>
        <w:t>《昌平区2024年贯彻落实北京市全面优化营商环境打造“北京服务”意见的实施方案》。</w:t>
      </w:r>
    </w:p>
  </w:footnote>
  <w:footnote w:id="34">
    <w:p w14:paraId="2EE0AF23">
      <w:pPr>
        <w:pStyle w:val="19"/>
        <w:snapToGrid w:val="0"/>
        <w:rPr>
          <w:rFonts w:hint="default" w:eastAsia="仿宋_GB2312"/>
          <w:lang w:val="en-US" w:eastAsia="zh-CN"/>
        </w:rPr>
      </w:pPr>
      <w:r>
        <w:rPr>
          <w:rStyle w:val="31"/>
          <w:sz w:val="18"/>
          <w:szCs w:val="18"/>
        </w:rPr>
        <w:footnoteRef/>
      </w:r>
      <w:r>
        <w:rPr>
          <w:rFonts w:hint="eastAsia"/>
          <w:lang w:val="en-US" w:eastAsia="zh-CN"/>
        </w:rPr>
        <w:t>参考临空区大兴片区做法：临空区大兴片区推动京津冀政务服务协同再升级，新增47项资质资格互认事项。</w:t>
      </w:r>
    </w:p>
  </w:footnote>
  <w:footnote w:id="35">
    <w:p w14:paraId="17F1F12F">
      <w:pPr>
        <w:pStyle w:val="19"/>
        <w:snapToGrid w:val="0"/>
        <w:spacing w:line="240" w:lineRule="auto"/>
        <w:ind w:firstLine="0" w:firstLineChars="0"/>
        <w:jc w:val="both"/>
        <w:rPr>
          <w:rFonts w:hint="default"/>
          <w:szCs w:val="18"/>
          <w:lang w:val="en-US" w:eastAsia="zh-CN"/>
        </w:rPr>
      </w:pPr>
      <w:r>
        <w:rPr>
          <w:rFonts w:hint="eastAsia"/>
          <w:szCs w:val="18"/>
          <w:vertAlign w:val="superscript"/>
          <w:lang w:val="en-US" w:eastAsia="zh-CN"/>
        </w:rPr>
        <w:footnoteRef/>
      </w:r>
      <w:r>
        <w:rPr>
          <w:rFonts w:hint="eastAsia"/>
          <w:szCs w:val="18"/>
          <w:lang w:val="en-US" w:eastAsia="zh-CN"/>
        </w:rPr>
        <w:t>参考江苏做法：苏北五市跨区域跨部门联合监管。</w:t>
      </w:r>
    </w:p>
  </w:footnote>
  <w:footnote w:id="36">
    <w:p w14:paraId="4B298130">
      <w:pPr>
        <w:pStyle w:val="19"/>
        <w:snapToGrid w:val="0"/>
      </w:pPr>
      <w:r>
        <w:rPr>
          <w:rStyle w:val="31"/>
          <w:sz w:val="18"/>
          <w:szCs w:val="18"/>
        </w:rPr>
        <w:footnoteRef/>
      </w:r>
      <w:r>
        <w:rPr>
          <w:rFonts w:hint="eastAsia"/>
          <w:lang w:val="en-US" w:eastAsia="zh-CN"/>
        </w:rPr>
        <w:t>《北京市全面优化营商环境打造国际一流“北京服务”工作要点（2025年）》。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0"/>
  <w:bordersDoNotSurroundFooter w:val="0"/>
  <w:documentProtection w:enforcement="0"/>
  <w:defaultTabStop w:val="420"/>
  <w:drawingGridHorizontalSpacing w:val="120"/>
  <w:drawingGridVerticalSpacing w:val="381"/>
  <w:displayHorizontalDrawingGridEvery w:val="1"/>
  <w:displayVerticalDrawingGridEvery w:val="1"/>
  <w:noPunctuationKerning w:val="1"/>
  <w:characterSpacingControl w:val="compressPunctuation"/>
  <w:footnotePr>
    <w:footnote w:id="74"/>
    <w:footnote w:id="75"/>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UxOTVkN2ZmMjVjM2EzNTY4MWNhM2I2OGZkMjAyOTMifQ=="/>
  </w:docVars>
  <w:rsids>
    <w:rsidRoot w:val="00D375B5"/>
    <w:rsid w:val="000257AA"/>
    <w:rsid w:val="00045BBC"/>
    <w:rsid w:val="000501FC"/>
    <w:rsid w:val="00052725"/>
    <w:rsid w:val="00056DF2"/>
    <w:rsid w:val="00057794"/>
    <w:rsid w:val="00077753"/>
    <w:rsid w:val="000778C1"/>
    <w:rsid w:val="000A014E"/>
    <w:rsid w:val="000A01B8"/>
    <w:rsid w:val="000B0A30"/>
    <w:rsid w:val="000D3C67"/>
    <w:rsid w:val="00101195"/>
    <w:rsid w:val="00107995"/>
    <w:rsid w:val="00124236"/>
    <w:rsid w:val="00125388"/>
    <w:rsid w:val="00132B71"/>
    <w:rsid w:val="00154133"/>
    <w:rsid w:val="00161CE2"/>
    <w:rsid w:val="00164A54"/>
    <w:rsid w:val="00171956"/>
    <w:rsid w:val="00194033"/>
    <w:rsid w:val="00195B6F"/>
    <w:rsid w:val="00196733"/>
    <w:rsid w:val="001A7D21"/>
    <w:rsid w:val="001C048E"/>
    <w:rsid w:val="001C535F"/>
    <w:rsid w:val="001E29FA"/>
    <w:rsid w:val="001F4F9D"/>
    <w:rsid w:val="00222C69"/>
    <w:rsid w:val="002236A2"/>
    <w:rsid w:val="002268C4"/>
    <w:rsid w:val="00236722"/>
    <w:rsid w:val="0024512B"/>
    <w:rsid w:val="00251FB8"/>
    <w:rsid w:val="00266844"/>
    <w:rsid w:val="00296006"/>
    <w:rsid w:val="002A7899"/>
    <w:rsid w:val="002C043E"/>
    <w:rsid w:val="002C134F"/>
    <w:rsid w:val="002C170E"/>
    <w:rsid w:val="003017A0"/>
    <w:rsid w:val="00347071"/>
    <w:rsid w:val="00377AFD"/>
    <w:rsid w:val="0038026A"/>
    <w:rsid w:val="003A7B23"/>
    <w:rsid w:val="003B6818"/>
    <w:rsid w:val="003D1B1E"/>
    <w:rsid w:val="004016C8"/>
    <w:rsid w:val="00403DEA"/>
    <w:rsid w:val="00406BCF"/>
    <w:rsid w:val="00422AB8"/>
    <w:rsid w:val="0043023D"/>
    <w:rsid w:val="00431DC2"/>
    <w:rsid w:val="00432292"/>
    <w:rsid w:val="00433B7B"/>
    <w:rsid w:val="004439B1"/>
    <w:rsid w:val="0045095D"/>
    <w:rsid w:val="0045350C"/>
    <w:rsid w:val="004906F3"/>
    <w:rsid w:val="00490A75"/>
    <w:rsid w:val="00496A28"/>
    <w:rsid w:val="00496CE7"/>
    <w:rsid w:val="00497777"/>
    <w:rsid w:val="004C5910"/>
    <w:rsid w:val="0050303F"/>
    <w:rsid w:val="0051167F"/>
    <w:rsid w:val="0052661A"/>
    <w:rsid w:val="005478C6"/>
    <w:rsid w:val="00565887"/>
    <w:rsid w:val="005A134C"/>
    <w:rsid w:val="005F3A50"/>
    <w:rsid w:val="00602049"/>
    <w:rsid w:val="0060703C"/>
    <w:rsid w:val="00613C73"/>
    <w:rsid w:val="00620EE5"/>
    <w:rsid w:val="00631168"/>
    <w:rsid w:val="00666D4D"/>
    <w:rsid w:val="00667D17"/>
    <w:rsid w:val="00670185"/>
    <w:rsid w:val="00695C1E"/>
    <w:rsid w:val="006A321E"/>
    <w:rsid w:val="006A3B00"/>
    <w:rsid w:val="006A5407"/>
    <w:rsid w:val="006A6EB7"/>
    <w:rsid w:val="006B2216"/>
    <w:rsid w:val="006D15D9"/>
    <w:rsid w:val="006D16EB"/>
    <w:rsid w:val="006D2604"/>
    <w:rsid w:val="006D4DA0"/>
    <w:rsid w:val="006E6CE8"/>
    <w:rsid w:val="006F16E5"/>
    <w:rsid w:val="006F51DF"/>
    <w:rsid w:val="007007DA"/>
    <w:rsid w:val="00700EB9"/>
    <w:rsid w:val="0070254A"/>
    <w:rsid w:val="00711CA6"/>
    <w:rsid w:val="00715BDD"/>
    <w:rsid w:val="007202B6"/>
    <w:rsid w:val="007418A1"/>
    <w:rsid w:val="0074213A"/>
    <w:rsid w:val="00742392"/>
    <w:rsid w:val="00743692"/>
    <w:rsid w:val="0074445F"/>
    <w:rsid w:val="0074534C"/>
    <w:rsid w:val="00753B3C"/>
    <w:rsid w:val="007756C4"/>
    <w:rsid w:val="007757DC"/>
    <w:rsid w:val="00776648"/>
    <w:rsid w:val="00784B51"/>
    <w:rsid w:val="0079258E"/>
    <w:rsid w:val="00793E58"/>
    <w:rsid w:val="007A301A"/>
    <w:rsid w:val="007C46D3"/>
    <w:rsid w:val="007D5A06"/>
    <w:rsid w:val="008249F4"/>
    <w:rsid w:val="008438B7"/>
    <w:rsid w:val="00857271"/>
    <w:rsid w:val="008953F8"/>
    <w:rsid w:val="008977C9"/>
    <w:rsid w:val="008A7F7C"/>
    <w:rsid w:val="008B3A4C"/>
    <w:rsid w:val="008B4EE0"/>
    <w:rsid w:val="008D0797"/>
    <w:rsid w:val="008E07C1"/>
    <w:rsid w:val="00911FDE"/>
    <w:rsid w:val="00930FFE"/>
    <w:rsid w:val="00943A58"/>
    <w:rsid w:val="009539AD"/>
    <w:rsid w:val="009668C0"/>
    <w:rsid w:val="009742A3"/>
    <w:rsid w:val="009B0D12"/>
    <w:rsid w:val="009C61FA"/>
    <w:rsid w:val="009D0475"/>
    <w:rsid w:val="009D5764"/>
    <w:rsid w:val="009E2C45"/>
    <w:rsid w:val="009F7418"/>
    <w:rsid w:val="00A03095"/>
    <w:rsid w:val="00A15DF5"/>
    <w:rsid w:val="00A31865"/>
    <w:rsid w:val="00A36702"/>
    <w:rsid w:val="00A51410"/>
    <w:rsid w:val="00A54CD9"/>
    <w:rsid w:val="00A74EDF"/>
    <w:rsid w:val="00A83956"/>
    <w:rsid w:val="00A96963"/>
    <w:rsid w:val="00AB1AF9"/>
    <w:rsid w:val="00AB2674"/>
    <w:rsid w:val="00AC36A5"/>
    <w:rsid w:val="00AD0BFA"/>
    <w:rsid w:val="00AD1307"/>
    <w:rsid w:val="00AE22F8"/>
    <w:rsid w:val="00AE407C"/>
    <w:rsid w:val="00B22BA0"/>
    <w:rsid w:val="00B41114"/>
    <w:rsid w:val="00B561ED"/>
    <w:rsid w:val="00B6086A"/>
    <w:rsid w:val="00B60E4F"/>
    <w:rsid w:val="00B66BEC"/>
    <w:rsid w:val="00B66C59"/>
    <w:rsid w:val="00BB549E"/>
    <w:rsid w:val="00BC3263"/>
    <w:rsid w:val="00BC3770"/>
    <w:rsid w:val="00BC5286"/>
    <w:rsid w:val="00BD6AEC"/>
    <w:rsid w:val="00BD7105"/>
    <w:rsid w:val="00C2560C"/>
    <w:rsid w:val="00C40DBD"/>
    <w:rsid w:val="00C858EA"/>
    <w:rsid w:val="00CA0B1E"/>
    <w:rsid w:val="00CB6500"/>
    <w:rsid w:val="00CC03DA"/>
    <w:rsid w:val="00CC6768"/>
    <w:rsid w:val="00CF6409"/>
    <w:rsid w:val="00D004CE"/>
    <w:rsid w:val="00D006C8"/>
    <w:rsid w:val="00D26558"/>
    <w:rsid w:val="00D375B5"/>
    <w:rsid w:val="00D5204E"/>
    <w:rsid w:val="00D52EE1"/>
    <w:rsid w:val="00D61756"/>
    <w:rsid w:val="00D72DFD"/>
    <w:rsid w:val="00D741A0"/>
    <w:rsid w:val="00DA070E"/>
    <w:rsid w:val="00DA2554"/>
    <w:rsid w:val="00DB7A4B"/>
    <w:rsid w:val="00DC40D4"/>
    <w:rsid w:val="00DC4D41"/>
    <w:rsid w:val="00DD288A"/>
    <w:rsid w:val="00DD5307"/>
    <w:rsid w:val="00DD5781"/>
    <w:rsid w:val="00DE2F2A"/>
    <w:rsid w:val="00DF7B8D"/>
    <w:rsid w:val="00E06C75"/>
    <w:rsid w:val="00E1437C"/>
    <w:rsid w:val="00E316E3"/>
    <w:rsid w:val="00E33397"/>
    <w:rsid w:val="00E46975"/>
    <w:rsid w:val="00E71CA7"/>
    <w:rsid w:val="00E74FE9"/>
    <w:rsid w:val="00E77131"/>
    <w:rsid w:val="00E937EF"/>
    <w:rsid w:val="00E9753F"/>
    <w:rsid w:val="00EA03EB"/>
    <w:rsid w:val="00EF4D2A"/>
    <w:rsid w:val="00EF7569"/>
    <w:rsid w:val="00F21C92"/>
    <w:rsid w:val="00F736C0"/>
    <w:rsid w:val="00F81E5E"/>
    <w:rsid w:val="00FA6812"/>
    <w:rsid w:val="00FB2765"/>
    <w:rsid w:val="00FC2070"/>
    <w:rsid w:val="00FC7627"/>
    <w:rsid w:val="01031A19"/>
    <w:rsid w:val="010B2DA4"/>
    <w:rsid w:val="01236C1B"/>
    <w:rsid w:val="01393E78"/>
    <w:rsid w:val="01453A14"/>
    <w:rsid w:val="01914068"/>
    <w:rsid w:val="01CC1A40"/>
    <w:rsid w:val="01D1338A"/>
    <w:rsid w:val="01D24A8A"/>
    <w:rsid w:val="01EB2262"/>
    <w:rsid w:val="020F6831"/>
    <w:rsid w:val="027C0B8B"/>
    <w:rsid w:val="02921448"/>
    <w:rsid w:val="0293529E"/>
    <w:rsid w:val="02980CB5"/>
    <w:rsid w:val="02A93B2F"/>
    <w:rsid w:val="02B072E7"/>
    <w:rsid w:val="02CA6606"/>
    <w:rsid w:val="02CE1CD2"/>
    <w:rsid w:val="02D74D0D"/>
    <w:rsid w:val="02D811F9"/>
    <w:rsid w:val="02DD6033"/>
    <w:rsid w:val="02F17BBB"/>
    <w:rsid w:val="033D5B9E"/>
    <w:rsid w:val="036A59B4"/>
    <w:rsid w:val="0381797F"/>
    <w:rsid w:val="03B629A7"/>
    <w:rsid w:val="03B95FF4"/>
    <w:rsid w:val="03C17B39"/>
    <w:rsid w:val="040F3246"/>
    <w:rsid w:val="041046A3"/>
    <w:rsid w:val="04402271"/>
    <w:rsid w:val="045C66B2"/>
    <w:rsid w:val="045D72C7"/>
    <w:rsid w:val="046220CB"/>
    <w:rsid w:val="04670C85"/>
    <w:rsid w:val="048C3708"/>
    <w:rsid w:val="04E031D6"/>
    <w:rsid w:val="0516142A"/>
    <w:rsid w:val="05360BE1"/>
    <w:rsid w:val="056F2E0E"/>
    <w:rsid w:val="0571302A"/>
    <w:rsid w:val="05B61968"/>
    <w:rsid w:val="05C963D6"/>
    <w:rsid w:val="05D53D21"/>
    <w:rsid w:val="05FA2A70"/>
    <w:rsid w:val="061E643E"/>
    <w:rsid w:val="062743A8"/>
    <w:rsid w:val="06481C14"/>
    <w:rsid w:val="06513245"/>
    <w:rsid w:val="065208B1"/>
    <w:rsid w:val="06846D8D"/>
    <w:rsid w:val="06B875A5"/>
    <w:rsid w:val="07283BBC"/>
    <w:rsid w:val="07407B22"/>
    <w:rsid w:val="07644AC3"/>
    <w:rsid w:val="078B42EC"/>
    <w:rsid w:val="078E56A7"/>
    <w:rsid w:val="07A5454D"/>
    <w:rsid w:val="07AA45D1"/>
    <w:rsid w:val="07B73B91"/>
    <w:rsid w:val="07BB5DFD"/>
    <w:rsid w:val="07D459E5"/>
    <w:rsid w:val="07D50775"/>
    <w:rsid w:val="082D35D2"/>
    <w:rsid w:val="085E7E7E"/>
    <w:rsid w:val="08A2799E"/>
    <w:rsid w:val="08B35707"/>
    <w:rsid w:val="08C7704F"/>
    <w:rsid w:val="091F0FEF"/>
    <w:rsid w:val="09212671"/>
    <w:rsid w:val="09524F20"/>
    <w:rsid w:val="09ED070C"/>
    <w:rsid w:val="0A4505E1"/>
    <w:rsid w:val="0A6A631C"/>
    <w:rsid w:val="0A8C015C"/>
    <w:rsid w:val="0A8D3D36"/>
    <w:rsid w:val="0A9F23E7"/>
    <w:rsid w:val="0ACA3C9E"/>
    <w:rsid w:val="0ADA51CD"/>
    <w:rsid w:val="0B0D7359"/>
    <w:rsid w:val="0B5B4136"/>
    <w:rsid w:val="0B76439D"/>
    <w:rsid w:val="0B7800F2"/>
    <w:rsid w:val="0BB42FE3"/>
    <w:rsid w:val="0BCA5242"/>
    <w:rsid w:val="0BE24D60"/>
    <w:rsid w:val="0BEF7DA3"/>
    <w:rsid w:val="0C0B585A"/>
    <w:rsid w:val="0C53621A"/>
    <w:rsid w:val="0C84135A"/>
    <w:rsid w:val="0C9475FE"/>
    <w:rsid w:val="0CA830A9"/>
    <w:rsid w:val="0CC53C5B"/>
    <w:rsid w:val="0CCA1272"/>
    <w:rsid w:val="0CCB6FA5"/>
    <w:rsid w:val="0D044068"/>
    <w:rsid w:val="0D1B38AD"/>
    <w:rsid w:val="0D26294C"/>
    <w:rsid w:val="0D2B7F62"/>
    <w:rsid w:val="0D38442D"/>
    <w:rsid w:val="0D443CB1"/>
    <w:rsid w:val="0D4E75B4"/>
    <w:rsid w:val="0E0013EF"/>
    <w:rsid w:val="0E1924B1"/>
    <w:rsid w:val="0E4806A0"/>
    <w:rsid w:val="0EC431E8"/>
    <w:rsid w:val="0EEF7011"/>
    <w:rsid w:val="0F2113A1"/>
    <w:rsid w:val="0F9B1521"/>
    <w:rsid w:val="0FA20284"/>
    <w:rsid w:val="0FB261CD"/>
    <w:rsid w:val="0FF87EA4"/>
    <w:rsid w:val="10035158"/>
    <w:rsid w:val="100D7DF3"/>
    <w:rsid w:val="10293FA1"/>
    <w:rsid w:val="10F77955"/>
    <w:rsid w:val="11416F6F"/>
    <w:rsid w:val="117A261C"/>
    <w:rsid w:val="119367F5"/>
    <w:rsid w:val="11B45E81"/>
    <w:rsid w:val="11F528ED"/>
    <w:rsid w:val="12307DC9"/>
    <w:rsid w:val="123371E8"/>
    <w:rsid w:val="127A7EE3"/>
    <w:rsid w:val="12A61E39"/>
    <w:rsid w:val="12D06EB6"/>
    <w:rsid w:val="13144FF5"/>
    <w:rsid w:val="131624FF"/>
    <w:rsid w:val="131979B3"/>
    <w:rsid w:val="13252138"/>
    <w:rsid w:val="134578A4"/>
    <w:rsid w:val="13D11138"/>
    <w:rsid w:val="14045069"/>
    <w:rsid w:val="14067033"/>
    <w:rsid w:val="143376FC"/>
    <w:rsid w:val="146479E2"/>
    <w:rsid w:val="14AD49F0"/>
    <w:rsid w:val="155B0D1D"/>
    <w:rsid w:val="155E2ED0"/>
    <w:rsid w:val="15681628"/>
    <w:rsid w:val="156D1BC9"/>
    <w:rsid w:val="1573694A"/>
    <w:rsid w:val="158C1B02"/>
    <w:rsid w:val="16461969"/>
    <w:rsid w:val="16576B9D"/>
    <w:rsid w:val="16695657"/>
    <w:rsid w:val="166E405A"/>
    <w:rsid w:val="167069E6"/>
    <w:rsid w:val="167F3FBD"/>
    <w:rsid w:val="16A106C3"/>
    <w:rsid w:val="16A36001"/>
    <w:rsid w:val="16A448E1"/>
    <w:rsid w:val="16B54A40"/>
    <w:rsid w:val="16C0577A"/>
    <w:rsid w:val="170A6E3A"/>
    <w:rsid w:val="17203C32"/>
    <w:rsid w:val="175258CB"/>
    <w:rsid w:val="176E7480"/>
    <w:rsid w:val="176F3141"/>
    <w:rsid w:val="17771FF6"/>
    <w:rsid w:val="17986A06"/>
    <w:rsid w:val="179F0D3D"/>
    <w:rsid w:val="17CB1D98"/>
    <w:rsid w:val="17E47EE6"/>
    <w:rsid w:val="18351A28"/>
    <w:rsid w:val="183D4FEE"/>
    <w:rsid w:val="18566322"/>
    <w:rsid w:val="18BE31AB"/>
    <w:rsid w:val="18C15C1F"/>
    <w:rsid w:val="19265A82"/>
    <w:rsid w:val="19425593"/>
    <w:rsid w:val="194A6E65"/>
    <w:rsid w:val="19B2792A"/>
    <w:rsid w:val="19ED300D"/>
    <w:rsid w:val="1A1B01D0"/>
    <w:rsid w:val="1A2331F1"/>
    <w:rsid w:val="1A482AE6"/>
    <w:rsid w:val="1A6052D4"/>
    <w:rsid w:val="1A725422"/>
    <w:rsid w:val="1A74241B"/>
    <w:rsid w:val="1A8667BD"/>
    <w:rsid w:val="1A9B0E19"/>
    <w:rsid w:val="1B13565A"/>
    <w:rsid w:val="1B306F48"/>
    <w:rsid w:val="1B33302E"/>
    <w:rsid w:val="1B3F2E2B"/>
    <w:rsid w:val="1BB116FE"/>
    <w:rsid w:val="1BB479C4"/>
    <w:rsid w:val="1BBD7B09"/>
    <w:rsid w:val="1BC70DE7"/>
    <w:rsid w:val="1C2344FA"/>
    <w:rsid w:val="1C5706C3"/>
    <w:rsid w:val="1C8D64B4"/>
    <w:rsid w:val="1CBE2FAF"/>
    <w:rsid w:val="1CD47668"/>
    <w:rsid w:val="1CEA3F89"/>
    <w:rsid w:val="1CFA06E8"/>
    <w:rsid w:val="1D554B87"/>
    <w:rsid w:val="1D881385"/>
    <w:rsid w:val="1D9C7C0E"/>
    <w:rsid w:val="1D9D730C"/>
    <w:rsid w:val="1DD91315"/>
    <w:rsid w:val="1DFB443F"/>
    <w:rsid w:val="1E2152A0"/>
    <w:rsid w:val="1E2D340E"/>
    <w:rsid w:val="1E34334C"/>
    <w:rsid w:val="1E5C55E9"/>
    <w:rsid w:val="1E5F62F7"/>
    <w:rsid w:val="1E7159F1"/>
    <w:rsid w:val="1EAD5D90"/>
    <w:rsid w:val="1F0028D1"/>
    <w:rsid w:val="1F1443B0"/>
    <w:rsid w:val="1F4F3D48"/>
    <w:rsid w:val="1F686DF4"/>
    <w:rsid w:val="1FA07B73"/>
    <w:rsid w:val="1FAA00DC"/>
    <w:rsid w:val="1FC62AAD"/>
    <w:rsid w:val="1FDC0D74"/>
    <w:rsid w:val="1FEF3071"/>
    <w:rsid w:val="1FF561AE"/>
    <w:rsid w:val="201C373B"/>
    <w:rsid w:val="20234E2C"/>
    <w:rsid w:val="20240617"/>
    <w:rsid w:val="203F072E"/>
    <w:rsid w:val="208E4638"/>
    <w:rsid w:val="20A0436C"/>
    <w:rsid w:val="20AF2801"/>
    <w:rsid w:val="20B92FC6"/>
    <w:rsid w:val="20CF579E"/>
    <w:rsid w:val="20D9162C"/>
    <w:rsid w:val="20DC62D5"/>
    <w:rsid w:val="20E27B73"/>
    <w:rsid w:val="21247A4D"/>
    <w:rsid w:val="218C499A"/>
    <w:rsid w:val="21B57D5A"/>
    <w:rsid w:val="21C640F3"/>
    <w:rsid w:val="21CB18BC"/>
    <w:rsid w:val="22123047"/>
    <w:rsid w:val="2218467D"/>
    <w:rsid w:val="2234120F"/>
    <w:rsid w:val="225F2771"/>
    <w:rsid w:val="226118D9"/>
    <w:rsid w:val="226513C9"/>
    <w:rsid w:val="22720F39"/>
    <w:rsid w:val="22A0105C"/>
    <w:rsid w:val="22D31AE1"/>
    <w:rsid w:val="22E42C35"/>
    <w:rsid w:val="22E9024C"/>
    <w:rsid w:val="230B1E7B"/>
    <w:rsid w:val="23331022"/>
    <w:rsid w:val="23423308"/>
    <w:rsid w:val="234F7AFB"/>
    <w:rsid w:val="236E0751"/>
    <w:rsid w:val="23A95242"/>
    <w:rsid w:val="23AC3027"/>
    <w:rsid w:val="23DB699F"/>
    <w:rsid w:val="23F43E49"/>
    <w:rsid w:val="24317CCC"/>
    <w:rsid w:val="246F3CE4"/>
    <w:rsid w:val="247C738F"/>
    <w:rsid w:val="24C46BA7"/>
    <w:rsid w:val="24F353CE"/>
    <w:rsid w:val="253009F4"/>
    <w:rsid w:val="25583753"/>
    <w:rsid w:val="257638ED"/>
    <w:rsid w:val="2593449F"/>
    <w:rsid w:val="25AF7C37"/>
    <w:rsid w:val="25B43C07"/>
    <w:rsid w:val="26492CDC"/>
    <w:rsid w:val="264B431E"/>
    <w:rsid w:val="26630315"/>
    <w:rsid w:val="269267D6"/>
    <w:rsid w:val="26D863B7"/>
    <w:rsid w:val="27135B8A"/>
    <w:rsid w:val="272F4E07"/>
    <w:rsid w:val="274837EC"/>
    <w:rsid w:val="276D4631"/>
    <w:rsid w:val="27725924"/>
    <w:rsid w:val="280F6FAD"/>
    <w:rsid w:val="28960B45"/>
    <w:rsid w:val="28A8200F"/>
    <w:rsid w:val="28AB02C8"/>
    <w:rsid w:val="28BE402A"/>
    <w:rsid w:val="28C31578"/>
    <w:rsid w:val="28DA6519"/>
    <w:rsid w:val="292355EB"/>
    <w:rsid w:val="293C6A83"/>
    <w:rsid w:val="2953762D"/>
    <w:rsid w:val="298A3E0B"/>
    <w:rsid w:val="29A8612B"/>
    <w:rsid w:val="29C643E5"/>
    <w:rsid w:val="29DD5FE7"/>
    <w:rsid w:val="29E31C2B"/>
    <w:rsid w:val="29EC06D3"/>
    <w:rsid w:val="29FB024D"/>
    <w:rsid w:val="2A0E7AC6"/>
    <w:rsid w:val="2A10662E"/>
    <w:rsid w:val="2A202836"/>
    <w:rsid w:val="2A555047"/>
    <w:rsid w:val="2A641012"/>
    <w:rsid w:val="2A78389A"/>
    <w:rsid w:val="2A7A5C2D"/>
    <w:rsid w:val="2A8916D2"/>
    <w:rsid w:val="2A9F5694"/>
    <w:rsid w:val="2AF666D8"/>
    <w:rsid w:val="2B434271"/>
    <w:rsid w:val="2B471FB3"/>
    <w:rsid w:val="2B6366C1"/>
    <w:rsid w:val="2B785E5C"/>
    <w:rsid w:val="2B7F799F"/>
    <w:rsid w:val="2B85488A"/>
    <w:rsid w:val="2B8F5708"/>
    <w:rsid w:val="2BA7521C"/>
    <w:rsid w:val="2BB231B0"/>
    <w:rsid w:val="2C0B586E"/>
    <w:rsid w:val="2C362817"/>
    <w:rsid w:val="2C477D91"/>
    <w:rsid w:val="2C541F4A"/>
    <w:rsid w:val="2C6574D4"/>
    <w:rsid w:val="2C8273AB"/>
    <w:rsid w:val="2C953A72"/>
    <w:rsid w:val="2C9D04F7"/>
    <w:rsid w:val="2CF0124C"/>
    <w:rsid w:val="2CFF241A"/>
    <w:rsid w:val="2D0829CB"/>
    <w:rsid w:val="2D3E4F1D"/>
    <w:rsid w:val="2D4A6EE3"/>
    <w:rsid w:val="2DFA3570"/>
    <w:rsid w:val="2E1113A3"/>
    <w:rsid w:val="2E34336C"/>
    <w:rsid w:val="2E662925"/>
    <w:rsid w:val="2E7259A4"/>
    <w:rsid w:val="2EB10B9E"/>
    <w:rsid w:val="2EED6908"/>
    <w:rsid w:val="2F5F41CA"/>
    <w:rsid w:val="2F7B4F4F"/>
    <w:rsid w:val="2F8A538D"/>
    <w:rsid w:val="2FA74DAB"/>
    <w:rsid w:val="2FDC4294"/>
    <w:rsid w:val="30085A89"/>
    <w:rsid w:val="305B3905"/>
    <w:rsid w:val="30640F12"/>
    <w:rsid w:val="30B637BB"/>
    <w:rsid w:val="310E5509"/>
    <w:rsid w:val="31214393"/>
    <w:rsid w:val="31A918BD"/>
    <w:rsid w:val="32016A77"/>
    <w:rsid w:val="32322A6C"/>
    <w:rsid w:val="3244724D"/>
    <w:rsid w:val="325748A5"/>
    <w:rsid w:val="32E75E2A"/>
    <w:rsid w:val="32FF3A04"/>
    <w:rsid w:val="330C1D72"/>
    <w:rsid w:val="334C560D"/>
    <w:rsid w:val="335B7B3F"/>
    <w:rsid w:val="33712774"/>
    <w:rsid w:val="337771AE"/>
    <w:rsid w:val="338B6583"/>
    <w:rsid w:val="33997124"/>
    <w:rsid w:val="33C54FC4"/>
    <w:rsid w:val="33F7044F"/>
    <w:rsid w:val="33FE45CB"/>
    <w:rsid w:val="341C1B03"/>
    <w:rsid w:val="34735BC7"/>
    <w:rsid w:val="34785659"/>
    <w:rsid w:val="347D732A"/>
    <w:rsid w:val="34C12DD7"/>
    <w:rsid w:val="34D47520"/>
    <w:rsid w:val="34FE797D"/>
    <w:rsid w:val="3509652C"/>
    <w:rsid w:val="35161967"/>
    <w:rsid w:val="3519707D"/>
    <w:rsid w:val="351B3DB5"/>
    <w:rsid w:val="35301D0A"/>
    <w:rsid w:val="353910B7"/>
    <w:rsid w:val="355F7EFA"/>
    <w:rsid w:val="357E4CCE"/>
    <w:rsid w:val="35A6695C"/>
    <w:rsid w:val="35AD429D"/>
    <w:rsid w:val="36042C59"/>
    <w:rsid w:val="364721EF"/>
    <w:rsid w:val="36527A5E"/>
    <w:rsid w:val="367B1ABE"/>
    <w:rsid w:val="36BD137C"/>
    <w:rsid w:val="36CF415A"/>
    <w:rsid w:val="36D61545"/>
    <w:rsid w:val="37123392"/>
    <w:rsid w:val="371A057C"/>
    <w:rsid w:val="373A6E70"/>
    <w:rsid w:val="37471C07"/>
    <w:rsid w:val="377A37D8"/>
    <w:rsid w:val="379A346B"/>
    <w:rsid w:val="37DC3A83"/>
    <w:rsid w:val="383839AF"/>
    <w:rsid w:val="38482EC7"/>
    <w:rsid w:val="384C6E5B"/>
    <w:rsid w:val="388A407C"/>
    <w:rsid w:val="38B36EDA"/>
    <w:rsid w:val="38FA1382"/>
    <w:rsid w:val="39084B2E"/>
    <w:rsid w:val="390C0398"/>
    <w:rsid w:val="392016C6"/>
    <w:rsid w:val="397847BA"/>
    <w:rsid w:val="3983647E"/>
    <w:rsid w:val="39ED5D21"/>
    <w:rsid w:val="39F96B6F"/>
    <w:rsid w:val="3A146E69"/>
    <w:rsid w:val="3A452001"/>
    <w:rsid w:val="3A5B1855"/>
    <w:rsid w:val="3A8826A8"/>
    <w:rsid w:val="3B194FEF"/>
    <w:rsid w:val="3B4F0A10"/>
    <w:rsid w:val="3B8A6F41"/>
    <w:rsid w:val="3BDE4D0E"/>
    <w:rsid w:val="3BF21AC7"/>
    <w:rsid w:val="3BFF40F8"/>
    <w:rsid w:val="3C1F267C"/>
    <w:rsid w:val="3C4E2A76"/>
    <w:rsid w:val="3C502CB4"/>
    <w:rsid w:val="3C7324DC"/>
    <w:rsid w:val="3C814BF9"/>
    <w:rsid w:val="3CA04974"/>
    <w:rsid w:val="3CA31ED4"/>
    <w:rsid w:val="3CC571DC"/>
    <w:rsid w:val="3D021864"/>
    <w:rsid w:val="3D2A5D69"/>
    <w:rsid w:val="3D3A5ABF"/>
    <w:rsid w:val="3D6665AE"/>
    <w:rsid w:val="3D6C7658"/>
    <w:rsid w:val="3D7F06EE"/>
    <w:rsid w:val="3DBD6105"/>
    <w:rsid w:val="3DF06936"/>
    <w:rsid w:val="3E540ED5"/>
    <w:rsid w:val="3E9A27EE"/>
    <w:rsid w:val="3EA550F7"/>
    <w:rsid w:val="3F277CDA"/>
    <w:rsid w:val="3F3015A0"/>
    <w:rsid w:val="3F656FEF"/>
    <w:rsid w:val="3F870779"/>
    <w:rsid w:val="3FB1448E"/>
    <w:rsid w:val="3FC27A03"/>
    <w:rsid w:val="3FC7326B"/>
    <w:rsid w:val="400060C9"/>
    <w:rsid w:val="400A2386"/>
    <w:rsid w:val="401A783F"/>
    <w:rsid w:val="40414DCB"/>
    <w:rsid w:val="407C5040"/>
    <w:rsid w:val="407F76A2"/>
    <w:rsid w:val="408E3D89"/>
    <w:rsid w:val="40A41DFE"/>
    <w:rsid w:val="40C559FD"/>
    <w:rsid w:val="41344930"/>
    <w:rsid w:val="41BB74B3"/>
    <w:rsid w:val="41C35172"/>
    <w:rsid w:val="4250650F"/>
    <w:rsid w:val="429F5203"/>
    <w:rsid w:val="42D02437"/>
    <w:rsid w:val="42DA5063"/>
    <w:rsid w:val="42EC0D54"/>
    <w:rsid w:val="42F779C3"/>
    <w:rsid w:val="42F97BDF"/>
    <w:rsid w:val="43811021"/>
    <w:rsid w:val="4382178C"/>
    <w:rsid w:val="43972CA2"/>
    <w:rsid w:val="439F6110"/>
    <w:rsid w:val="43B17A8C"/>
    <w:rsid w:val="442073EE"/>
    <w:rsid w:val="442567B2"/>
    <w:rsid w:val="44953938"/>
    <w:rsid w:val="44BE5C0A"/>
    <w:rsid w:val="44D97CC8"/>
    <w:rsid w:val="44FA25EC"/>
    <w:rsid w:val="4553085F"/>
    <w:rsid w:val="45626034"/>
    <w:rsid w:val="45747839"/>
    <w:rsid w:val="458F7785"/>
    <w:rsid w:val="45C864B7"/>
    <w:rsid w:val="46205483"/>
    <w:rsid w:val="46334BD7"/>
    <w:rsid w:val="4645590E"/>
    <w:rsid w:val="46552E56"/>
    <w:rsid w:val="46596D71"/>
    <w:rsid w:val="46711137"/>
    <w:rsid w:val="467769E3"/>
    <w:rsid w:val="46965745"/>
    <w:rsid w:val="46B05553"/>
    <w:rsid w:val="46B75DE7"/>
    <w:rsid w:val="46BF6A4A"/>
    <w:rsid w:val="46DD5122"/>
    <w:rsid w:val="47045C5C"/>
    <w:rsid w:val="47361553"/>
    <w:rsid w:val="475810AE"/>
    <w:rsid w:val="47AE67C0"/>
    <w:rsid w:val="47B45617"/>
    <w:rsid w:val="47CF7AFC"/>
    <w:rsid w:val="47EB386F"/>
    <w:rsid w:val="48013552"/>
    <w:rsid w:val="480F1C53"/>
    <w:rsid w:val="48267B4E"/>
    <w:rsid w:val="48367ACA"/>
    <w:rsid w:val="486F44A0"/>
    <w:rsid w:val="487D4E0F"/>
    <w:rsid w:val="48AB372A"/>
    <w:rsid w:val="48C91E02"/>
    <w:rsid w:val="49282FCC"/>
    <w:rsid w:val="493B1131"/>
    <w:rsid w:val="495054B9"/>
    <w:rsid w:val="496B02A0"/>
    <w:rsid w:val="499C5D1A"/>
    <w:rsid w:val="4A061F44"/>
    <w:rsid w:val="4A23362D"/>
    <w:rsid w:val="4A443FD5"/>
    <w:rsid w:val="4A511DD0"/>
    <w:rsid w:val="4ABA1D88"/>
    <w:rsid w:val="4AF033DE"/>
    <w:rsid w:val="4AFA0FD1"/>
    <w:rsid w:val="4B0B4B1B"/>
    <w:rsid w:val="4B160A11"/>
    <w:rsid w:val="4B324F9C"/>
    <w:rsid w:val="4B8644FE"/>
    <w:rsid w:val="4B870CB2"/>
    <w:rsid w:val="4BCD40B9"/>
    <w:rsid w:val="4BE66733"/>
    <w:rsid w:val="4BEB6533"/>
    <w:rsid w:val="4C215AB1"/>
    <w:rsid w:val="4C2A2BB8"/>
    <w:rsid w:val="4C3E6663"/>
    <w:rsid w:val="4C67778F"/>
    <w:rsid w:val="4C7165E3"/>
    <w:rsid w:val="4C835716"/>
    <w:rsid w:val="4CA02E7A"/>
    <w:rsid w:val="4CC90623"/>
    <w:rsid w:val="4D063625"/>
    <w:rsid w:val="4D070B3A"/>
    <w:rsid w:val="4D0A3F76"/>
    <w:rsid w:val="4D464A28"/>
    <w:rsid w:val="4D665E71"/>
    <w:rsid w:val="4D962CC2"/>
    <w:rsid w:val="4DB4278D"/>
    <w:rsid w:val="4DB82445"/>
    <w:rsid w:val="4DE4148C"/>
    <w:rsid w:val="4E015B9A"/>
    <w:rsid w:val="4E151645"/>
    <w:rsid w:val="4E247602"/>
    <w:rsid w:val="4E2928FE"/>
    <w:rsid w:val="4E4A17FE"/>
    <w:rsid w:val="4E722CEC"/>
    <w:rsid w:val="4E8642F1"/>
    <w:rsid w:val="4E875E85"/>
    <w:rsid w:val="4E96266E"/>
    <w:rsid w:val="4EAF077C"/>
    <w:rsid w:val="4ED6787C"/>
    <w:rsid w:val="4EFE4AF3"/>
    <w:rsid w:val="4F1638C7"/>
    <w:rsid w:val="4F247CF0"/>
    <w:rsid w:val="4F4915A7"/>
    <w:rsid w:val="4F5673A9"/>
    <w:rsid w:val="4F6D7F57"/>
    <w:rsid w:val="4F7505EE"/>
    <w:rsid w:val="4FA827DD"/>
    <w:rsid w:val="50061022"/>
    <w:rsid w:val="50270AA4"/>
    <w:rsid w:val="504B6BE0"/>
    <w:rsid w:val="505738A8"/>
    <w:rsid w:val="50577CF3"/>
    <w:rsid w:val="51051E45"/>
    <w:rsid w:val="515B78C0"/>
    <w:rsid w:val="51744769"/>
    <w:rsid w:val="517C4963"/>
    <w:rsid w:val="51A4460F"/>
    <w:rsid w:val="51AA7475"/>
    <w:rsid w:val="52035305"/>
    <w:rsid w:val="522617C9"/>
    <w:rsid w:val="524D7600"/>
    <w:rsid w:val="526846E8"/>
    <w:rsid w:val="526F5493"/>
    <w:rsid w:val="52927376"/>
    <w:rsid w:val="529C2335"/>
    <w:rsid w:val="52A511EA"/>
    <w:rsid w:val="52AC2578"/>
    <w:rsid w:val="52B30B50"/>
    <w:rsid w:val="52CB1154"/>
    <w:rsid w:val="52E04770"/>
    <w:rsid w:val="52F34726"/>
    <w:rsid w:val="531D5CDC"/>
    <w:rsid w:val="53282B53"/>
    <w:rsid w:val="533029CE"/>
    <w:rsid w:val="53884E46"/>
    <w:rsid w:val="538A7E10"/>
    <w:rsid w:val="53B84F4D"/>
    <w:rsid w:val="53CC6C4A"/>
    <w:rsid w:val="53EF3DD1"/>
    <w:rsid w:val="53F47D3A"/>
    <w:rsid w:val="54266F00"/>
    <w:rsid w:val="546B0BB0"/>
    <w:rsid w:val="549633CA"/>
    <w:rsid w:val="54A23D7A"/>
    <w:rsid w:val="54AA6632"/>
    <w:rsid w:val="54BA300C"/>
    <w:rsid w:val="54E354BA"/>
    <w:rsid w:val="54EE398D"/>
    <w:rsid w:val="55173EF5"/>
    <w:rsid w:val="55342CF9"/>
    <w:rsid w:val="555E1B24"/>
    <w:rsid w:val="55AE6607"/>
    <w:rsid w:val="562C69CB"/>
    <w:rsid w:val="56771427"/>
    <w:rsid w:val="56D402F0"/>
    <w:rsid w:val="56DF3E08"/>
    <w:rsid w:val="56EE1DEB"/>
    <w:rsid w:val="57185654"/>
    <w:rsid w:val="571A7346"/>
    <w:rsid w:val="572F3778"/>
    <w:rsid w:val="57464CB1"/>
    <w:rsid w:val="5772234A"/>
    <w:rsid w:val="57803B24"/>
    <w:rsid w:val="57AA2DFF"/>
    <w:rsid w:val="57AE6D93"/>
    <w:rsid w:val="57B146D1"/>
    <w:rsid w:val="57F61B93"/>
    <w:rsid w:val="580318F7"/>
    <w:rsid w:val="589C4E3D"/>
    <w:rsid w:val="58BC4221"/>
    <w:rsid w:val="58BD134A"/>
    <w:rsid w:val="58CB12E3"/>
    <w:rsid w:val="58D07D59"/>
    <w:rsid w:val="58D26971"/>
    <w:rsid w:val="593A4C32"/>
    <w:rsid w:val="5979381D"/>
    <w:rsid w:val="5A105AE3"/>
    <w:rsid w:val="5A685EA1"/>
    <w:rsid w:val="5A741CD9"/>
    <w:rsid w:val="5A7B0A82"/>
    <w:rsid w:val="5A8D196F"/>
    <w:rsid w:val="5AB02E22"/>
    <w:rsid w:val="5ADC3F08"/>
    <w:rsid w:val="5AF04475"/>
    <w:rsid w:val="5B0A0784"/>
    <w:rsid w:val="5B77791D"/>
    <w:rsid w:val="5B7E2077"/>
    <w:rsid w:val="5B8147BE"/>
    <w:rsid w:val="5B9F664A"/>
    <w:rsid w:val="5BA52B48"/>
    <w:rsid w:val="5BAB5397"/>
    <w:rsid w:val="5BAD7361"/>
    <w:rsid w:val="5BB73F31"/>
    <w:rsid w:val="5C313AEE"/>
    <w:rsid w:val="5C381321"/>
    <w:rsid w:val="5C51177C"/>
    <w:rsid w:val="5C52370C"/>
    <w:rsid w:val="5C641EFB"/>
    <w:rsid w:val="5CD04360"/>
    <w:rsid w:val="5D055605"/>
    <w:rsid w:val="5D261944"/>
    <w:rsid w:val="5D7F3CC1"/>
    <w:rsid w:val="5D9407D9"/>
    <w:rsid w:val="5D954414"/>
    <w:rsid w:val="5DA96B5A"/>
    <w:rsid w:val="5DAE0D21"/>
    <w:rsid w:val="5DD0562A"/>
    <w:rsid w:val="5DED2157"/>
    <w:rsid w:val="5E1611EE"/>
    <w:rsid w:val="5E1960C3"/>
    <w:rsid w:val="5E5D161C"/>
    <w:rsid w:val="5E8A693B"/>
    <w:rsid w:val="5EA70098"/>
    <w:rsid w:val="5ECB4491"/>
    <w:rsid w:val="5EF27BD4"/>
    <w:rsid w:val="5EF83C4C"/>
    <w:rsid w:val="5EFE05C4"/>
    <w:rsid w:val="5F0F017D"/>
    <w:rsid w:val="5F166FCB"/>
    <w:rsid w:val="5F172722"/>
    <w:rsid w:val="5F1A63D6"/>
    <w:rsid w:val="5F5612BF"/>
    <w:rsid w:val="5F8C42D9"/>
    <w:rsid w:val="5F910A58"/>
    <w:rsid w:val="60151899"/>
    <w:rsid w:val="60161739"/>
    <w:rsid w:val="60261490"/>
    <w:rsid w:val="602F6597"/>
    <w:rsid w:val="60505469"/>
    <w:rsid w:val="606C2E27"/>
    <w:rsid w:val="60932FCA"/>
    <w:rsid w:val="60B13450"/>
    <w:rsid w:val="60C45810"/>
    <w:rsid w:val="61335B85"/>
    <w:rsid w:val="61447E20"/>
    <w:rsid w:val="61694087"/>
    <w:rsid w:val="61DA21A3"/>
    <w:rsid w:val="61DB59D9"/>
    <w:rsid w:val="61E54303"/>
    <w:rsid w:val="61F730E4"/>
    <w:rsid w:val="622A34BA"/>
    <w:rsid w:val="62420744"/>
    <w:rsid w:val="628C1A7E"/>
    <w:rsid w:val="6299419B"/>
    <w:rsid w:val="62CA6778"/>
    <w:rsid w:val="63100901"/>
    <w:rsid w:val="631A7FA3"/>
    <w:rsid w:val="63360B92"/>
    <w:rsid w:val="63422A85"/>
    <w:rsid w:val="63444AEC"/>
    <w:rsid w:val="63554566"/>
    <w:rsid w:val="635B73CD"/>
    <w:rsid w:val="636B2273"/>
    <w:rsid w:val="63944956"/>
    <w:rsid w:val="63950E07"/>
    <w:rsid w:val="63CC5CC8"/>
    <w:rsid w:val="63D27965"/>
    <w:rsid w:val="63D45EE0"/>
    <w:rsid w:val="63E40D59"/>
    <w:rsid w:val="63F41D70"/>
    <w:rsid w:val="63F43D7F"/>
    <w:rsid w:val="63F93905"/>
    <w:rsid w:val="63FB2A42"/>
    <w:rsid w:val="641206A9"/>
    <w:rsid w:val="64213D26"/>
    <w:rsid w:val="64455769"/>
    <w:rsid w:val="646F1658"/>
    <w:rsid w:val="647A443E"/>
    <w:rsid w:val="64B00017"/>
    <w:rsid w:val="64C335D3"/>
    <w:rsid w:val="64D87C17"/>
    <w:rsid w:val="64E6250D"/>
    <w:rsid w:val="64EA33D4"/>
    <w:rsid w:val="650C4537"/>
    <w:rsid w:val="657469A2"/>
    <w:rsid w:val="659379BB"/>
    <w:rsid w:val="65962C14"/>
    <w:rsid w:val="65B0017A"/>
    <w:rsid w:val="65C077DC"/>
    <w:rsid w:val="65CE0600"/>
    <w:rsid w:val="65E6120F"/>
    <w:rsid w:val="65EE47FE"/>
    <w:rsid w:val="65F954E7"/>
    <w:rsid w:val="66234691"/>
    <w:rsid w:val="665D0100"/>
    <w:rsid w:val="66AE31B7"/>
    <w:rsid w:val="66DE136F"/>
    <w:rsid w:val="66E867D7"/>
    <w:rsid w:val="67053A30"/>
    <w:rsid w:val="672A5D0A"/>
    <w:rsid w:val="672E57FA"/>
    <w:rsid w:val="675B0F35"/>
    <w:rsid w:val="675F1926"/>
    <w:rsid w:val="67672ABA"/>
    <w:rsid w:val="67696AE0"/>
    <w:rsid w:val="678F0F40"/>
    <w:rsid w:val="6796339F"/>
    <w:rsid w:val="680B28FE"/>
    <w:rsid w:val="681A6EFF"/>
    <w:rsid w:val="682140F7"/>
    <w:rsid w:val="68297D70"/>
    <w:rsid w:val="684150B9"/>
    <w:rsid w:val="68D60249"/>
    <w:rsid w:val="68F33297"/>
    <w:rsid w:val="69162838"/>
    <w:rsid w:val="694E2184"/>
    <w:rsid w:val="695113D8"/>
    <w:rsid w:val="696310B8"/>
    <w:rsid w:val="69800EB4"/>
    <w:rsid w:val="698D0675"/>
    <w:rsid w:val="699842C3"/>
    <w:rsid w:val="69C65F96"/>
    <w:rsid w:val="69CD70E5"/>
    <w:rsid w:val="6A5D01A4"/>
    <w:rsid w:val="6A8264A5"/>
    <w:rsid w:val="6A9D684E"/>
    <w:rsid w:val="6AA638F9"/>
    <w:rsid w:val="6AAC01B9"/>
    <w:rsid w:val="6B2C72A3"/>
    <w:rsid w:val="6B421874"/>
    <w:rsid w:val="6B7B4D86"/>
    <w:rsid w:val="6B956337"/>
    <w:rsid w:val="6BCE1F5E"/>
    <w:rsid w:val="6BD858FE"/>
    <w:rsid w:val="6BE2603A"/>
    <w:rsid w:val="6BF458F5"/>
    <w:rsid w:val="6C0D604D"/>
    <w:rsid w:val="6C1274D8"/>
    <w:rsid w:val="6C391F7A"/>
    <w:rsid w:val="6C3B5EA1"/>
    <w:rsid w:val="6C7C3FB7"/>
    <w:rsid w:val="6C7F08A6"/>
    <w:rsid w:val="6C8F6BC2"/>
    <w:rsid w:val="6CDA5BDB"/>
    <w:rsid w:val="6D0210B5"/>
    <w:rsid w:val="6D2D3E5E"/>
    <w:rsid w:val="6D653C79"/>
    <w:rsid w:val="6D7D3037"/>
    <w:rsid w:val="6D9B63D7"/>
    <w:rsid w:val="6DCE7DFA"/>
    <w:rsid w:val="6DE17ED2"/>
    <w:rsid w:val="6E1B015A"/>
    <w:rsid w:val="6E331948"/>
    <w:rsid w:val="6E421D5D"/>
    <w:rsid w:val="6E45110D"/>
    <w:rsid w:val="6E8A7083"/>
    <w:rsid w:val="6E9F0D8B"/>
    <w:rsid w:val="6EB84DF6"/>
    <w:rsid w:val="6EBA7973"/>
    <w:rsid w:val="6EBB736F"/>
    <w:rsid w:val="6ED317D6"/>
    <w:rsid w:val="6EF14AE4"/>
    <w:rsid w:val="6F23376B"/>
    <w:rsid w:val="6F3C5F3C"/>
    <w:rsid w:val="6F40431D"/>
    <w:rsid w:val="6FA523D2"/>
    <w:rsid w:val="6FA54ABF"/>
    <w:rsid w:val="6FBB7E47"/>
    <w:rsid w:val="6FFE7D34"/>
    <w:rsid w:val="700C1224"/>
    <w:rsid w:val="70177133"/>
    <w:rsid w:val="70521674"/>
    <w:rsid w:val="705D50B0"/>
    <w:rsid w:val="70A57B1A"/>
    <w:rsid w:val="70C76378"/>
    <w:rsid w:val="70E116BB"/>
    <w:rsid w:val="70FF0834"/>
    <w:rsid w:val="717464FF"/>
    <w:rsid w:val="718524BB"/>
    <w:rsid w:val="71A45E38"/>
    <w:rsid w:val="71AD37BF"/>
    <w:rsid w:val="71D47B19"/>
    <w:rsid w:val="71D945B4"/>
    <w:rsid w:val="71F907B3"/>
    <w:rsid w:val="71FE401B"/>
    <w:rsid w:val="72192C03"/>
    <w:rsid w:val="722724C9"/>
    <w:rsid w:val="72302D7D"/>
    <w:rsid w:val="72377F2E"/>
    <w:rsid w:val="725B7D61"/>
    <w:rsid w:val="72C154D1"/>
    <w:rsid w:val="72D37256"/>
    <w:rsid w:val="72E6342D"/>
    <w:rsid w:val="72EA6696"/>
    <w:rsid w:val="72FA6ED8"/>
    <w:rsid w:val="730D5D09"/>
    <w:rsid w:val="73116B29"/>
    <w:rsid w:val="731338FE"/>
    <w:rsid w:val="73142AD7"/>
    <w:rsid w:val="7319019D"/>
    <w:rsid w:val="731C0F4E"/>
    <w:rsid w:val="731D16EF"/>
    <w:rsid w:val="73764465"/>
    <w:rsid w:val="7388529A"/>
    <w:rsid w:val="73A82FC9"/>
    <w:rsid w:val="73CF5C6F"/>
    <w:rsid w:val="73FB2EA5"/>
    <w:rsid w:val="7440091B"/>
    <w:rsid w:val="74F311D7"/>
    <w:rsid w:val="74FC0CE6"/>
    <w:rsid w:val="753224F5"/>
    <w:rsid w:val="75856EB5"/>
    <w:rsid w:val="758C6643"/>
    <w:rsid w:val="75A17B08"/>
    <w:rsid w:val="75B952FF"/>
    <w:rsid w:val="75CD3B0A"/>
    <w:rsid w:val="75CF145B"/>
    <w:rsid w:val="75D21A46"/>
    <w:rsid w:val="75D25EEA"/>
    <w:rsid w:val="75FA3A6A"/>
    <w:rsid w:val="76184E96"/>
    <w:rsid w:val="765069A7"/>
    <w:rsid w:val="766530C9"/>
    <w:rsid w:val="767174B1"/>
    <w:rsid w:val="76960CC6"/>
    <w:rsid w:val="769B6649"/>
    <w:rsid w:val="76A711C6"/>
    <w:rsid w:val="76A96C4B"/>
    <w:rsid w:val="76EC6B38"/>
    <w:rsid w:val="76FB6D7B"/>
    <w:rsid w:val="772956DC"/>
    <w:rsid w:val="77D153EE"/>
    <w:rsid w:val="77D47E28"/>
    <w:rsid w:val="77DD4EB4"/>
    <w:rsid w:val="77E85551"/>
    <w:rsid w:val="77EE0AB3"/>
    <w:rsid w:val="78443C4D"/>
    <w:rsid w:val="785871AE"/>
    <w:rsid w:val="785B7980"/>
    <w:rsid w:val="787E5EB6"/>
    <w:rsid w:val="78AF797E"/>
    <w:rsid w:val="78FB5758"/>
    <w:rsid w:val="79216A1F"/>
    <w:rsid w:val="79464C25"/>
    <w:rsid w:val="79864B95"/>
    <w:rsid w:val="79CC45AC"/>
    <w:rsid w:val="7A0A5F49"/>
    <w:rsid w:val="7A187C44"/>
    <w:rsid w:val="7A290AB6"/>
    <w:rsid w:val="7A326F58"/>
    <w:rsid w:val="7A4822D7"/>
    <w:rsid w:val="7A4A6EDB"/>
    <w:rsid w:val="7A4D1061"/>
    <w:rsid w:val="7A727ABB"/>
    <w:rsid w:val="7AEB28F3"/>
    <w:rsid w:val="7B050777"/>
    <w:rsid w:val="7B227F87"/>
    <w:rsid w:val="7B445194"/>
    <w:rsid w:val="7B4B2857"/>
    <w:rsid w:val="7B62386D"/>
    <w:rsid w:val="7B6B0973"/>
    <w:rsid w:val="7B710925"/>
    <w:rsid w:val="7B892BA7"/>
    <w:rsid w:val="7B8F6DCB"/>
    <w:rsid w:val="7B916B7C"/>
    <w:rsid w:val="7C091F3A"/>
    <w:rsid w:val="7C296138"/>
    <w:rsid w:val="7C4E477F"/>
    <w:rsid w:val="7C585AEB"/>
    <w:rsid w:val="7C6D4277"/>
    <w:rsid w:val="7C72658F"/>
    <w:rsid w:val="7C974128"/>
    <w:rsid w:val="7CBF082D"/>
    <w:rsid w:val="7CC16353"/>
    <w:rsid w:val="7CD97B5E"/>
    <w:rsid w:val="7CE6060A"/>
    <w:rsid w:val="7CF93D5D"/>
    <w:rsid w:val="7D3E2931"/>
    <w:rsid w:val="7D8A0E59"/>
    <w:rsid w:val="7D94714D"/>
    <w:rsid w:val="7DA634DD"/>
    <w:rsid w:val="7DD37DFE"/>
    <w:rsid w:val="7DF94066"/>
    <w:rsid w:val="7E104D66"/>
    <w:rsid w:val="7E470441"/>
    <w:rsid w:val="7E5106CC"/>
    <w:rsid w:val="7E5A4CCF"/>
    <w:rsid w:val="7E795C8F"/>
    <w:rsid w:val="7E881AE3"/>
    <w:rsid w:val="7E8D0A20"/>
    <w:rsid w:val="7EB71F41"/>
    <w:rsid w:val="7ED95BF4"/>
    <w:rsid w:val="7F6F4762"/>
    <w:rsid w:val="7FC811B2"/>
    <w:rsid w:val="7FE03836"/>
    <w:rsid w:val="7FE72592"/>
    <w:rsid w:val="7FEE56CF"/>
    <w:rsid w:val="7FFA32F9"/>
    <w:rsid w:val="E75EC2BE"/>
    <w:rsid w:val="FEE85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name="toc 4"/>
    <w:lsdException w:qFormat="1" w:unhideWhenUsed="0" w:uiPriority="0" w:semiHidden="0" w:name="toc 5"/>
    <w:lsdException w:uiPriority="39" w:name="toc 6"/>
    <w:lsdException w:uiPriority="39" w:name="toc 7"/>
    <w:lsdException w:uiPriority="39" w:name="toc 8"/>
    <w:lsdException w:uiPriority="39"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361" w:firstLineChars="200"/>
      <w:jc w:val="both"/>
    </w:pPr>
    <w:rPr>
      <w:rFonts w:ascii="仿宋_GB2312" w:hAnsi="仿宋_GB2312" w:eastAsia="仿宋_GB2312" w:cs="仿宋_GB2312"/>
      <w:kern w:val="2"/>
      <w:sz w:val="32"/>
      <w:szCs w:val="24"/>
      <w:lang w:val="en-US" w:eastAsia="zh-CN" w:bidi="ar-SA"/>
    </w:rPr>
  </w:style>
  <w:style w:type="paragraph" w:styleId="2">
    <w:name w:val="heading 1"/>
    <w:basedOn w:val="1"/>
    <w:next w:val="1"/>
    <w:link w:val="32"/>
    <w:qFormat/>
    <w:uiPriority w:val="9"/>
    <w:pPr>
      <w:keepNext/>
      <w:keepLines/>
      <w:spacing w:line="560" w:lineRule="exact"/>
      <w:ind w:firstLine="640" w:firstLineChars="200"/>
      <w:outlineLvl w:val="0"/>
    </w:pPr>
    <w:rPr>
      <w:rFonts w:eastAsia="黑体"/>
      <w:bCs/>
      <w:kern w:val="44"/>
      <w:szCs w:val="44"/>
    </w:rPr>
  </w:style>
  <w:style w:type="paragraph" w:styleId="3">
    <w:name w:val="heading 2"/>
    <w:basedOn w:val="1"/>
    <w:next w:val="1"/>
    <w:link w:val="33"/>
    <w:unhideWhenUsed/>
    <w:qFormat/>
    <w:uiPriority w:val="9"/>
    <w:pPr>
      <w:keepNext/>
      <w:keepLines/>
      <w:spacing w:line="560" w:lineRule="exact"/>
      <w:ind w:firstLine="640" w:firstLineChars="200"/>
      <w:outlineLvl w:val="1"/>
    </w:pPr>
    <w:rPr>
      <w:rFonts w:ascii="楷体_GB2312" w:hAnsi="楷体_GB2312" w:eastAsia="楷体" w:cstheme="majorBidi"/>
      <w:bCs/>
      <w:szCs w:val="32"/>
    </w:rPr>
  </w:style>
  <w:style w:type="paragraph" w:styleId="4">
    <w:name w:val="heading 3"/>
    <w:basedOn w:val="1"/>
    <w:next w:val="1"/>
    <w:link w:val="34"/>
    <w:unhideWhenUsed/>
    <w:qFormat/>
    <w:uiPriority w:val="9"/>
    <w:pPr>
      <w:keepNext/>
      <w:keepLines/>
      <w:spacing w:line="560" w:lineRule="exact"/>
      <w:ind w:firstLine="640" w:firstLineChars="200"/>
      <w:outlineLvl w:val="2"/>
    </w:pPr>
    <w:rPr>
      <w:bCs/>
      <w:szCs w:val="32"/>
    </w:rPr>
  </w:style>
  <w:style w:type="paragraph" w:styleId="5">
    <w:name w:val="heading 4"/>
    <w:basedOn w:val="1"/>
    <w:next w:val="1"/>
    <w:link w:val="35"/>
    <w:unhideWhenUsed/>
    <w:qFormat/>
    <w:uiPriority w:val="0"/>
    <w:pPr>
      <w:keepNext/>
      <w:keepLines/>
      <w:spacing w:line="560" w:lineRule="exact"/>
      <w:ind w:firstLine="640" w:firstLineChars="200"/>
      <w:outlineLvl w:val="3"/>
    </w:pPr>
    <w:rPr>
      <w:rFonts w:cstheme="majorBidi"/>
      <w:bCs/>
      <w:szCs w:val="28"/>
    </w:rPr>
  </w:style>
  <w:style w:type="paragraph" w:styleId="6">
    <w:name w:val="heading 6"/>
    <w:basedOn w:val="1"/>
    <w:next w:val="1"/>
    <w:qFormat/>
    <w:uiPriority w:val="0"/>
    <w:pPr>
      <w:keepNext/>
      <w:keepLines/>
      <w:spacing w:before="240" w:after="64" w:line="317" w:lineRule="auto"/>
      <w:outlineLvl w:val="5"/>
    </w:pPr>
    <w:rPr>
      <w:rFonts w:ascii="Arial" w:hAnsi="Arial" w:eastAsia="黑体"/>
      <w:b/>
      <w:bCs/>
      <w:sz w:val="24"/>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next w:val="9"/>
    <w:link w:val="38"/>
    <w:unhideWhenUsed/>
    <w:qFormat/>
    <w:uiPriority w:val="99"/>
    <w:pPr>
      <w:spacing w:afterLines="0" w:line="560" w:lineRule="exact"/>
    </w:pPr>
  </w:style>
  <w:style w:type="paragraph" w:styleId="9">
    <w:name w:val="toc 5"/>
    <w:basedOn w:val="1"/>
    <w:next w:val="1"/>
    <w:qFormat/>
    <w:uiPriority w:val="0"/>
    <w:pPr>
      <w:ind w:left="840"/>
      <w:jc w:val="left"/>
    </w:pPr>
    <w:rPr>
      <w:sz w:val="18"/>
      <w:szCs w:val="18"/>
    </w:rPr>
  </w:style>
  <w:style w:type="paragraph" w:styleId="10">
    <w:name w:val="Body Text Indent"/>
    <w:basedOn w:val="1"/>
    <w:unhideWhenUsed/>
    <w:qFormat/>
    <w:uiPriority w:val="99"/>
    <w:pPr>
      <w:widowControl w:val="0"/>
      <w:spacing w:after="120"/>
      <w:ind w:left="420" w:leftChars="200"/>
      <w:jc w:val="both"/>
    </w:pPr>
    <w:rPr>
      <w:rFonts w:asciiTheme="minorHAnsi" w:hAnsiTheme="minorHAnsi" w:eastAsiaTheme="minorEastAsia" w:cstheme="minorBidi"/>
      <w:kern w:val="2"/>
      <w:sz w:val="21"/>
      <w:szCs w:val="24"/>
      <w:lang w:val="en-US" w:eastAsia="zh-CN" w:bidi="ar-SA"/>
    </w:rPr>
  </w:style>
  <w:style w:type="paragraph" w:styleId="11">
    <w:name w:val="Block Text"/>
    <w:basedOn w:val="1"/>
    <w:qFormat/>
    <w:uiPriority w:val="0"/>
    <w:pPr>
      <w:spacing w:after="120"/>
      <w:ind w:left="1440" w:leftChars="700" w:right="1440" w:rightChars="700"/>
    </w:pPr>
  </w:style>
  <w:style w:type="paragraph" w:styleId="12">
    <w:name w:val="toc 3"/>
    <w:basedOn w:val="1"/>
    <w:next w:val="1"/>
    <w:qFormat/>
    <w:uiPriority w:val="39"/>
    <w:pPr>
      <w:ind w:left="840" w:leftChars="400"/>
    </w:pPr>
  </w:style>
  <w:style w:type="paragraph" w:styleId="13">
    <w:name w:val="Plain Text"/>
    <w:basedOn w:val="1"/>
    <w:next w:val="1"/>
    <w:qFormat/>
    <w:uiPriority w:val="0"/>
    <w:rPr>
      <w:rFonts w:ascii="宋体" w:hAnsi="Courier New"/>
    </w:rPr>
  </w:style>
  <w:style w:type="paragraph" w:styleId="14">
    <w:name w:val="footer"/>
    <w:basedOn w:val="1"/>
    <w:qFormat/>
    <w:uiPriority w:val="99"/>
    <w:pPr>
      <w:tabs>
        <w:tab w:val="center" w:pos="4153"/>
        <w:tab w:val="right" w:pos="8306"/>
      </w:tabs>
      <w:spacing w:line="240" w:lineRule="auto"/>
      <w:ind w:firstLine="0" w:firstLineChars="0"/>
      <w:jc w:val="left"/>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39"/>
    <w:pPr>
      <w:spacing w:after="0" w:afterLines="0" w:line="560" w:lineRule="exact"/>
      <w:ind w:firstLine="0" w:firstLineChars="0"/>
    </w:pPr>
    <w:rPr>
      <w:b/>
      <w:sz w:val="32"/>
    </w:rPr>
  </w:style>
  <w:style w:type="paragraph" w:styleId="17">
    <w:name w:val="toc 4"/>
    <w:basedOn w:val="1"/>
    <w:next w:val="1"/>
    <w:semiHidden/>
    <w:unhideWhenUsed/>
    <w:qFormat/>
    <w:uiPriority w:val="39"/>
    <w:pPr>
      <w:ind w:left="1260" w:leftChars="600"/>
    </w:pPr>
  </w:style>
  <w:style w:type="paragraph" w:styleId="18">
    <w:name w:val="Subtitle"/>
    <w:basedOn w:val="1"/>
    <w:next w:val="1"/>
    <w:link w:val="37"/>
    <w:qFormat/>
    <w:uiPriority w:val="11"/>
    <w:pPr>
      <w:spacing w:before="240" w:after="60" w:line="312" w:lineRule="auto"/>
      <w:jc w:val="center"/>
      <w:outlineLvl w:val="1"/>
    </w:pPr>
    <w:rPr>
      <w:rFonts w:asciiTheme="minorHAnsi" w:hAnsiTheme="minorHAnsi"/>
      <w:b/>
      <w:bCs/>
      <w:kern w:val="28"/>
      <w:sz w:val="32"/>
      <w:szCs w:val="32"/>
    </w:rPr>
  </w:style>
  <w:style w:type="paragraph" w:styleId="19">
    <w:name w:val="footnote text"/>
    <w:basedOn w:val="1"/>
    <w:qFormat/>
    <w:uiPriority w:val="0"/>
    <w:pPr>
      <w:snapToGrid w:val="0"/>
      <w:spacing w:line="240" w:lineRule="auto"/>
      <w:ind w:firstLine="0" w:firstLineChars="0"/>
      <w:jc w:val="left"/>
    </w:pPr>
    <w:rPr>
      <w:sz w:val="18"/>
    </w:rPr>
  </w:style>
  <w:style w:type="paragraph" w:styleId="20">
    <w:name w:val="toc 2"/>
    <w:basedOn w:val="1"/>
    <w:next w:val="1"/>
    <w:qFormat/>
    <w:uiPriority w:val="39"/>
    <w:pPr>
      <w:spacing w:after="0" w:afterLines="0" w:line="560" w:lineRule="exact"/>
      <w:ind w:left="200" w:leftChars="200" w:firstLine="0" w:firstLineChars="0"/>
    </w:pPr>
    <w:rPr>
      <w:sz w:val="32"/>
    </w:r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Title"/>
    <w:basedOn w:val="1"/>
    <w:next w:val="1"/>
    <w:link w:val="36"/>
    <w:qFormat/>
    <w:uiPriority w:val="10"/>
    <w:pPr>
      <w:spacing w:line="560" w:lineRule="exact"/>
      <w:ind w:firstLine="0" w:firstLineChars="0"/>
      <w:jc w:val="center"/>
    </w:pPr>
    <w:rPr>
      <w:rFonts w:eastAsia="方正小标宋简体" w:asciiTheme="majorHAnsi" w:hAnsiTheme="majorHAnsi" w:cstheme="majorBidi"/>
      <w:b/>
      <w:bCs/>
      <w:sz w:val="44"/>
      <w:szCs w:val="3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FollowedHyperlink"/>
    <w:basedOn w:val="25"/>
    <w:semiHidden/>
    <w:unhideWhenUsed/>
    <w:qFormat/>
    <w:uiPriority w:val="99"/>
    <w:rPr>
      <w:color w:val="800080"/>
      <w:u w:val="single"/>
    </w:rPr>
  </w:style>
  <w:style w:type="character" w:styleId="28">
    <w:name w:val="Emphasis"/>
    <w:basedOn w:val="25"/>
    <w:qFormat/>
    <w:uiPriority w:val="0"/>
    <w:rPr>
      <w:i/>
    </w:rPr>
  </w:style>
  <w:style w:type="character" w:styleId="29">
    <w:name w:val="Hyperlink"/>
    <w:basedOn w:val="25"/>
    <w:unhideWhenUsed/>
    <w:qFormat/>
    <w:uiPriority w:val="99"/>
    <w:rPr>
      <w:color w:val="0563C1" w:themeColor="hyperlink"/>
      <w:u w:val="single"/>
      <w14:textFill>
        <w14:solidFill>
          <w14:schemeClr w14:val="hlink"/>
        </w14:solidFill>
      </w14:textFill>
    </w:rPr>
  </w:style>
  <w:style w:type="character" w:styleId="30">
    <w:name w:val="annotation reference"/>
    <w:basedOn w:val="25"/>
    <w:semiHidden/>
    <w:unhideWhenUsed/>
    <w:qFormat/>
    <w:uiPriority w:val="99"/>
    <w:rPr>
      <w:rFonts w:ascii="Times New Roman" w:hAnsi="Times New Roman" w:eastAsia="仿宋_GB2312"/>
      <w:sz w:val="20"/>
      <w:szCs w:val="21"/>
    </w:rPr>
  </w:style>
  <w:style w:type="character" w:styleId="31">
    <w:name w:val="footnote reference"/>
    <w:basedOn w:val="25"/>
    <w:qFormat/>
    <w:uiPriority w:val="0"/>
    <w:rPr>
      <w:rFonts w:ascii="仿宋_GB2312" w:hAnsi="仿宋_GB2312" w:eastAsia="仿宋_GB2312"/>
      <w:sz w:val="32"/>
      <w:vertAlign w:val="superscript"/>
    </w:rPr>
  </w:style>
  <w:style w:type="character" w:customStyle="1" w:styleId="32">
    <w:name w:val="标题 1 字符"/>
    <w:basedOn w:val="25"/>
    <w:link w:val="2"/>
    <w:qFormat/>
    <w:uiPriority w:val="9"/>
    <w:rPr>
      <w:rFonts w:ascii="Times New Roman" w:hAnsi="Times New Roman" w:eastAsia="黑体"/>
      <w:bCs/>
      <w:kern w:val="44"/>
      <w:sz w:val="32"/>
      <w:szCs w:val="44"/>
    </w:rPr>
  </w:style>
  <w:style w:type="character" w:customStyle="1" w:styleId="33">
    <w:name w:val="标题 2 字符"/>
    <w:basedOn w:val="25"/>
    <w:link w:val="3"/>
    <w:qFormat/>
    <w:uiPriority w:val="9"/>
    <w:rPr>
      <w:rFonts w:ascii="楷体_GB2312" w:hAnsi="楷体_GB2312" w:eastAsia="楷体" w:cstheme="majorBidi"/>
      <w:bCs/>
      <w:sz w:val="32"/>
      <w:szCs w:val="32"/>
    </w:rPr>
  </w:style>
  <w:style w:type="character" w:customStyle="1" w:styleId="34">
    <w:name w:val="标题 3 字符"/>
    <w:basedOn w:val="25"/>
    <w:link w:val="4"/>
    <w:qFormat/>
    <w:uiPriority w:val="9"/>
    <w:rPr>
      <w:rFonts w:ascii="仿宋_GB2312" w:hAnsi="仿宋_GB2312" w:eastAsia="仿宋_GB2312"/>
      <w:bCs/>
      <w:sz w:val="32"/>
      <w:szCs w:val="32"/>
    </w:rPr>
  </w:style>
  <w:style w:type="character" w:customStyle="1" w:styleId="35">
    <w:name w:val="标题 4 字符"/>
    <w:basedOn w:val="25"/>
    <w:link w:val="5"/>
    <w:qFormat/>
    <w:uiPriority w:val="0"/>
    <w:rPr>
      <w:rFonts w:ascii="Times New Roman" w:hAnsi="Times New Roman" w:eastAsia="仿宋_GB2312" w:cstheme="majorBidi"/>
      <w:bCs/>
      <w:sz w:val="32"/>
      <w:szCs w:val="28"/>
    </w:rPr>
  </w:style>
  <w:style w:type="character" w:customStyle="1" w:styleId="36">
    <w:name w:val="标题 字符"/>
    <w:basedOn w:val="25"/>
    <w:link w:val="22"/>
    <w:qFormat/>
    <w:uiPriority w:val="10"/>
    <w:rPr>
      <w:rFonts w:eastAsia="方正小标宋简体" w:asciiTheme="majorHAnsi" w:hAnsiTheme="majorHAnsi" w:cstheme="majorBidi"/>
      <w:b/>
      <w:bCs/>
      <w:kern w:val="2"/>
      <w:sz w:val="44"/>
      <w:szCs w:val="32"/>
    </w:rPr>
  </w:style>
  <w:style w:type="character" w:customStyle="1" w:styleId="37">
    <w:name w:val="副标题 字符"/>
    <w:basedOn w:val="25"/>
    <w:link w:val="18"/>
    <w:qFormat/>
    <w:uiPriority w:val="11"/>
    <w:rPr>
      <w:b/>
      <w:bCs/>
      <w:kern w:val="28"/>
      <w:sz w:val="32"/>
      <w:szCs w:val="32"/>
    </w:rPr>
  </w:style>
  <w:style w:type="character" w:customStyle="1" w:styleId="38">
    <w:name w:val="正文文本 字符"/>
    <w:link w:val="8"/>
    <w:qFormat/>
    <w:uiPriority w:val="99"/>
    <w:rPr>
      <w:rFonts w:eastAsia="仿宋_GB2312"/>
      <w:sz w:val="32"/>
    </w:rPr>
  </w:style>
  <w:style w:type="table" w:customStyle="1" w:styleId="39">
    <w:name w:val="Table Normal"/>
    <w:unhideWhenUsed/>
    <w:qFormat/>
    <w:uiPriority w:val="0"/>
    <w:tblPr>
      <w:tblCellMar>
        <w:top w:w="0" w:type="dxa"/>
        <w:left w:w="0" w:type="dxa"/>
        <w:bottom w:w="0" w:type="dxa"/>
        <w:right w:w="0" w:type="dxa"/>
      </w:tblCellMar>
    </w:tblPr>
  </w:style>
  <w:style w:type="paragraph" w:customStyle="1" w:styleId="40">
    <w:name w:val="正文+缩进"/>
    <w:basedOn w:val="1"/>
    <w:qFormat/>
    <w:uiPriority w:val="0"/>
    <w:pPr>
      <w:ind w:firstLine="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13dd5aaa-78f5-41cb-847d-7d54440edef9</errorID>
      <errorWord xmlns="http://schemas.wps.cn/vas-ai-hub/contract-review">市场化法治化国际化</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市场化、法治化、国际化</item>
      </candidateList>
      <explain xmlns="http://schemas.wps.cn/vas-ai-hub/contract-review">注意检查当前固定表述标点是否使用规范。</explain>
      <paraID xmlns="http://schemas.wps.cn/vas-ai-hub/contract-review">17B5F407</paraID>
      <start xmlns="http://schemas.wps.cn/vas-ai-hub/contract-review">70</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745afdf0-5524-4926-af9d-6846bd830112</errorID>
      <errorWord xmlns="http://schemas.wps.cn/vas-ai-hub/contract-review">”营商品牌,</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6865A8CF</paraID>
      <start xmlns="http://schemas.wps.cn/vas-ai-hub/contract-review">159</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d8376594-2729-414e-a308-b066ca6b9219</errorID>
      <errorWord xmlns="http://schemas.wps.cn/vas-ai-hub/contract-review">服务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等营商</item>
      </candidateList>
      <explain xmlns="http://schemas.wps.cn/vas-ai-hub/contract-review"/>
      <paraID xmlns="http://schemas.wps.cn/vas-ai-hub/contract-review">6865A8CF</paraID>
      <start xmlns="http://schemas.wps.cn/vas-ai-hub/contract-review">180</start>
      <end xmlns="http://schemas.wps.cn/vas-ai-hub/contract-review">182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cf3c407b-f712-419e-9656-7b12e45c9868</errorID>
      <errorWord xmlns="http://schemas.wps.cn/vas-ai-hub/contract-review">资源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与资源</item>
      </candidateList>
      <explain xmlns="http://schemas.wps.cn/vas-ai-hub/contract-review"/>
      <paraID xmlns="http://schemas.wps.cn/vas-ai-hub/contract-review">5EB5C511</paraID>
      <start xmlns="http://schemas.wps.cn/vas-ai-hub/contract-review">17</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193d34dc-27c7-40f2-821d-dbb01d44fed7</errorID>
      <errorWord xmlns="http://schemas.wps.cn/vas-ai-hub/contract-review">政策突破 </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政策</item>
      </candidateList>
      <explain xmlns="http://schemas.wps.cn/vas-ai-hub/contract-review"/>
      <paraID xmlns="http://schemas.wps.cn/vas-ai-hub/contract-review">675F2B4D</paraID>
      <start xmlns="http://schemas.wps.cn/vas-ai-hub/contract-review">101</start>
      <end xmlns="http://schemas.wps.cn/vas-ai-hub/contract-review">106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e911b0f3-9945-457b-8348-4fa91762d08e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675F2B4D</paraID>
      <start xmlns="http://schemas.wps.cn/vas-ai-hub/contract-review">123</start>
      <end xmlns="http://schemas.wps.cn/vas-ai-hub/contract-review">124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fe0f3cf0-7b0b-4244-9fa4-88768dac6507</errorID>
      <errorWord xmlns="http://schemas.wps.cn/vas-ai-hub/contract-review">提升</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，提升</item>
      </candidateList>
      <explain xmlns="http://schemas.wps.cn/vas-ai-hub/contract-review"/>
      <paraID xmlns="http://schemas.wps.cn/vas-ai-hub/contract-review">675F2B4D</paraID>
      <start xmlns="http://schemas.wps.cn/vas-ai-hub/contract-review">165</start>
      <end xmlns="http://schemas.wps.cn/vas-ai-hub/contract-review">167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bcc31042-077b-4364-8d97-29fd52c7aec1</errorID>
      <errorWord xmlns="http://schemas.wps.cn/vas-ai-hub/contract-review">推广</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，推广</item>
      </candidateList>
      <explain xmlns="http://schemas.wps.cn/vas-ai-hub/contract-review"/>
      <paraID xmlns="http://schemas.wps.cn/vas-ai-hub/contract-review">675F2B4D</paraID>
      <start xmlns="http://schemas.wps.cn/vas-ai-hub/contract-review">181</start>
      <end xmlns="http://schemas.wps.cn/vas-ai-hub/contract-review">183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0689453c-6d15-49df-9d51-d182169217cb</errorID>
      <errorWord xmlns="http://schemas.wps.cn/vas-ai-hub/contract-review">失信智慧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智慧失信</item>
      </candidateList>
      <explain xmlns="http://schemas.wps.cn/vas-ai-hub/contract-review"/>
      <paraID xmlns="http://schemas.wps.cn/vas-ai-hub/contract-review">1B52D2EA</paraID>
      <start xmlns="http://schemas.wps.cn/vas-ai-hub/contract-review">23</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0dc6700e-2406-4099-893d-4dbbfa267ce4</errorID>
      <errorWord xmlns="http://schemas.wps.cn/vas-ai-hub/contract-review">拨投结合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“拨投结合”</item>
      </candidateList>
      <explain xmlns="http://schemas.wps.cn/vas-ai-hub/contract-review">注意检查当前固定表述标点是否使用规范。</explain>
      <paraID xmlns="http://schemas.wps.cn/vas-ai-hub/contract-review">143DC1BF</paraID>
      <start xmlns="http://schemas.wps.cn/vas-ai-hub/contract-review">137</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421eb42d-3e56-48c7-9826-a749d966e683</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288D40AC</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3b94a9f0-9fd0-48a5-ba18-8856ba0993c3</errorID>
      <errorWord xmlns="http://schemas.wps.cn/vas-ai-hub/contract-review">深化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发挥</item>
      </candidateList>
      <explain xmlns="http://schemas.wps.cn/vas-ai-hub/contract-review"/>
      <paraID xmlns="http://schemas.wps.cn/vas-ai-hub/contract-review">2F0BE472</paraID>
      <start xmlns="http://schemas.wps.cn/vas-ai-hub/contract-review">11</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150e5db1-ae40-45cb-ab57-84d897a3ccee</errorID>
      <errorWord xmlns="http://schemas.wps.cn/vas-ai-hub/contract-review">推荐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推动</item>
      </candidateList>
      <explain xmlns="http://schemas.wps.cn/vas-ai-hub/contract-review"/>
      <paraID xmlns="http://schemas.wps.cn/vas-ai-hub/contract-review">2F0BE472</paraID>
      <start xmlns="http://schemas.wps.cn/vas-ai-hub/contract-review">99</start>
      <end xmlns="http://schemas.wps.cn/vas-ai-hub/contract-review">101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072df5bd-2684-482a-b2f9-f21f7f1a6353</errorID>
      <errorWord xmlns="http://schemas.wps.cn/vas-ai-hub/contract-review">快速开展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开展快速</item>
      </candidateList>
      <explain xmlns="http://schemas.wps.cn/vas-ai-hub/contract-review"/>
      <paraID xmlns="http://schemas.wps.cn/vas-ai-hub/contract-review">77A3856B</paraID>
      <start xmlns="http://schemas.wps.cn/vas-ai-hub/contract-review">97</start>
      <end xmlns="http://schemas.wps.cn/vas-ai-hub/contract-review">101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942e7dd3-2cb5-457b-bafe-feff7a43e44f</errorID>
      <errorWord xmlns="http://schemas.wps.cn/vas-ai-hub/contract-review">递进化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迭代化</item>
      </candidateList>
      <explain xmlns="http://schemas.wps.cn/vas-ai-hub/contract-review"/>
      <paraID xmlns="http://schemas.wps.cn/vas-ai-hub/contract-review">44FDCB73</paraID>
      <start xmlns="http://schemas.wps.cn/vas-ai-hub/contract-review">9</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69b66e41-835e-4120-849e-8193025d66b2</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5FB4335</paraID>
      <start xmlns="http://schemas.wps.cn/vas-ai-hub/contract-review">146</start>
      <end xmlns="http://schemas.wps.cn/vas-ai-hub/contract-review">147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7fb52d98-4ba6-4da7-9c3f-19e68eadf33b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5C84F801</paraID>
      <start xmlns="http://schemas.wps.cn/vas-ai-hub/contract-review">54</start>
      <end xmlns="http://schemas.wps.cn/vas-ai-hub/contract-review">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bb286670-b584-46fb-a4e0-3b041fe939ad</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5C84F801</paraID>
      <start xmlns="http://schemas.wps.cn/vas-ai-hub/contract-review">110</start>
      <end xmlns="http://schemas.wps.cn/vas-ai-hub/contract-review">111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71d22712-bf2d-40b6-86b1-534536202095</errorID>
      <errorWord xmlns="http://schemas.wps.cn/vas-ai-hub/contract-review">创业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item>
      </candidateList>
      <explain xmlns="http://schemas.wps.cn/vas-ai-hub/contract-review"/>
      <paraID xmlns="http://schemas.wps.cn/vas-ai-hub/contract-review">53808385</paraID>
      <start xmlns="http://schemas.wps.cn/vas-ai-hub/contract-review">67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bc3a12e1-91e4-473b-9a65-7a9fac20d6d8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53808385</paraID>
      <start xmlns="http://schemas.wps.cn/vas-ai-hub/contract-review">82</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898f5a98-0954-408e-b185-c5f3a6a88502</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7BEDC945</paraID>
      <start xmlns="http://schemas.wps.cn/vas-ai-hub/contract-review">58</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ebaf822f-7104-432c-9e91-f266e130b8de</errorID>
      <errorWord xmlns="http://schemas.wps.cn/vas-ai-hub/contract-review">企业服务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企业</item>
      </candidateList>
      <explain xmlns="http://schemas.wps.cn/vas-ai-hub/contract-review"/>
      <paraID xmlns="http://schemas.wps.cn/vas-ai-hub/contract-review">7BEDC945</paraID>
      <start xmlns="http://schemas.wps.cn/vas-ai-hub/contract-review">161</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9f3f6c26-3dbf-4ca6-b4ea-a88f9e5b4cf1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7BEDC945</paraID>
      <start xmlns="http://schemas.wps.cn/vas-ai-hub/contract-review">237</start>
      <end xmlns="http://schemas.wps.cn/vas-ai-hub/contract-review">238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49a6374f-5c47-49d7-8633-b2ef02b134f5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6160358A</paraID>
      <start xmlns="http://schemas.wps.cn/vas-ai-hub/contract-review">57</start>
      <end xmlns="http://schemas.wps.cn/vas-ai-hub/contract-review">58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f629f468-07b7-4c00-a779-b7b7d4af6568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6160358A</paraID>
      <start xmlns="http://schemas.wps.cn/vas-ai-hub/contract-review">104</start>
      <end xmlns="http://schemas.wps.cn/vas-ai-hub/contract-review">105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c57469e8-20a9-4315-9c9f-447a40f241a4</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范围，</item>
      </candidateList>
      <explain xmlns="http://schemas.wps.cn/vas-ai-hub/contract-review"/>
      <paraID xmlns="http://schemas.wps.cn/vas-ai-hub/contract-review">5B8242A2</paraID>
      <start xmlns="http://schemas.wps.cn/vas-ai-hub/contract-review">26</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f10745df-da1a-44ab-b06a-722f10c5fbfc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5B8242A2</paraID>
      <start xmlns="http://schemas.wps.cn/vas-ai-hub/contract-review">70</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f9db09e3-665c-4eec-8abd-d940cb3c6d86</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5B8242A2</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f3babf3f-a238-4269-afdc-a2be4186904f</errorID>
      <errorWord xmlns="http://schemas.wps.cn/vas-ai-hub/contract-review">稳定性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的稳定性</item>
      </candidateList>
      <explain xmlns="http://schemas.wps.cn/vas-ai-hub/contract-review"/>
      <paraID xmlns="http://schemas.wps.cn/vas-ai-hub/contract-review">5B8242A2</paraID>
      <start xmlns="http://schemas.wps.cn/vas-ai-hub/contract-review">146</start>
      <end xmlns="http://schemas.wps.cn/vas-ai-hub/contract-review">149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edc13def-21f0-416f-b0ae-72c96a011289</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 8710F7B</paraID>
      <start xmlns="http://schemas.wps.cn/vas-ai-hub/contract-review">111</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e31472c0-25c3-4166-a4a8-66744bccf554</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 8710F7B</paraID>
      <start xmlns="http://schemas.wps.cn/vas-ai-hub/contract-review">170</start>
      <end xmlns="http://schemas.wps.cn/vas-ai-hub/contract-review">171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8b234013-009d-47b5-9f6b-4cdd68d2d8f7</errorID>
      <errorWord xmlns="http://schemas.wps.cn/vas-ai-hub/contract-review">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如</item>
      </candidateList>
      <explain xmlns="http://schemas.wps.cn/vas-ai-hub/contract-review"/>
      <paraID xmlns="http://schemas.wps.cn/vas-ai-hub/contract-review"> 4936863</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936ec55d-81ba-4fff-9b3b-d38470b3fd42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15FC132F</paraID>
      <start xmlns="http://schemas.wps.cn/vas-ai-hub/contract-review">88</start>
      <end xmlns="http://schemas.wps.cn/vas-ai-hub/contract-review">89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25776415-9509-43c4-b6b2-eb3369c4044f</errorID>
      <errorWord xmlns="http://schemas.wps.cn/vas-ai-hub/contract-review">下沉落地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下沉</item>
      </candidateList>
      <explain xmlns="http://schemas.wps.cn/vas-ai-hub/contract-review"/>
      <paraID xmlns="http://schemas.wps.cn/vas-ai-hub/contract-review">722D7102</paraID>
      <start xmlns="http://schemas.wps.cn/vas-ai-hub/contract-review">151</start>
      <end xmlns="http://schemas.wps.cn/vas-ai-hub/contract-review">155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42d24ed4-dc71-4956-b32e-88fa1c73669e</errorID>
      <errorWord xmlns="http://schemas.wps.cn/vas-ai-hub/contract-review">等服务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等</item>
      </candidateList>
      <explain xmlns="http://schemas.wps.cn/vas-ai-hub/contract-review"/>
      <paraID xmlns="http://schemas.wps.cn/vas-ai-hub/contract-review">722D7102</paraID>
      <start xmlns="http://schemas.wps.cn/vas-ai-hub/contract-review">164</start>
      <end xmlns="http://schemas.wps.cn/vas-ai-hub/contract-review">167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b64e6ce1-d807-4d31-adb7-bb9df21b3b19</errorID>
      <errorWord xmlns="http://schemas.wps.cn/vas-ai-hub/contract-review">等服务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等</item>
      </candidateList>
      <explain xmlns="http://schemas.wps.cn/vas-ai-hub/contract-review"/>
      <paraID xmlns="http://schemas.wps.cn/vas-ai-hub/contract-review">722D7102</paraID>
      <start xmlns="http://schemas.wps.cn/vas-ai-hub/contract-review">191</start>
      <end xmlns="http://schemas.wps.cn/vas-ai-hub/contract-review">194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d66ae2c3-2760-4b61-953e-49d2656e43b1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43B72B6C</paraID>
      <start xmlns="http://schemas.wps.cn/vas-ai-hub/contract-review">189</start>
      <end xmlns="http://schemas.wps.cn/vas-ai-hub/contract-review">190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76b1c078-b9db-481e-896d-6641496bfae0</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 A8395AD</paraID>
      <start xmlns="http://schemas.wps.cn/vas-ai-hub/contract-review">112</start>
      <end xmlns="http://schemas.wps.cn/vas-ai-hub/contract-review">113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67e790a3-7358-46fd-a0d6-6bdb1217b8ab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A8395AD</paraID>
      <start xmlns="http://schemas.wps.cn/vas-ai-hub/contract-review">143</start>
      <end xmlns="http://schemas.wps.cn/vas-ai-hub/contract-review">144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e922068b-9d13-4524-af7f-3730879913a7</errorID>
      <errorWord xmlns="http://schemas.wps.cn/vas-ai-hub/contract-review">登记以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以登记</item>
      </candidateList>
      <explain xmlns="http://schemas.wps.cn/vas-ai-hub/contract-review"/>
      <paraID xmlns="http://schemas.wps.cn/vas-ai-hub/contract-review">4EFD6E6A</paraID>
      <start xmlns="http://schemas.wps.cn/vas-ai-hub/contract-review">5</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86d90871-a530-49db-ad23-3f26cb511bde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50898FA8</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0ce35391-847c-4695-94a3-30bfcde412b9</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5F47DCE8</paraID>
      <start xmlns="http://schemas.wps.cn/vas-ai-hub/contract-review">65</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ca108631-1bb6-4d19-be01-4ab9547fa2d1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42C79A7C</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6d18633b-f22e-4c8d-a22e-4db180375a84</errorID>
      <errorWord xmlns="http://schemas.wps.cn/vas-ai-hub/contract-review">养服务体系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养老服务体系</item>
      </candidateList>
      <explain xmlns="http://schemas.wps.cn/vas-ai-hub/contract-review">词汇“养老服务体系”在特定场景下为固定表述形式，请确认此处的“养服务体系”是否存在不当。</explain>
      <paraID xmlns="http://schemas.wps.cn/vas-ai-hub/contract-review">27C83FC1</paraID>
      <start xmlns="http://schemas.wps.cn/vas-ai-hub/contract-review">52</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586f72ac-9204-4ffc-8991-04043c90118c</errorID>
      <errorWord xmlns="http://schemas.wps.cn/vas-ai-hub/contract-review">一刻钟花园生活圈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一刻钟便民生活圈</item>
      </candidateList>
      <explain xmlns="http://schemas.wps.cn/vas-ai-hub/contract-review">词汇“一刻钟便民生活圈”在特定场景下为固定表述形式，请确认此处的“一刻钟花园生活圈”是否存在不当。</explain>
      <paraID xmlns="http://schemas.wps.cn/vas-ai-hub/contract-review">2E4D9E7C</paraID>
      <start xmlns="http://schemas.wps.cn/vas-ai-hub/contract-review">37</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ba6227c0-afd3-443f-bb3f-769340703e5e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2F6BFE4C</paraID>
      <start xmlns="http://schemas.wps.cn/vas-ai-hub/contract-review">46</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b7f94378-608d-4bdb-b412-d1ee03182df5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181A526A</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81f778de-c151-4348-8e03-7f2c932fc28c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181A526A</paraID>
      <start xmlns="http://schemas.wps.cn/vas-ai-hub/contract-review">189</start>
      <end xmlns="http://schemas.wps.cn/vas-ai-hub/contract-review">190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79812555-525c-444e-adb5-28d2ea42e87f</errorID>
      <errorWord xmlns="http://schemas.wps.cn/vas-ai-hub/contract-review">数据要素行动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“数据要素×”行动</item>
      </candidateList>
      <explain xmlns="http://schemas.wps.cn/vas-ai-hub/contract-review">注意检查当前固定表述标点是否使用规范。</explain>
      <paraID xmlns="http://schemas.wps.cn/vas-ai-hub/contract-review"> AE0DF5D</paraID>
      <start xmlns="http://schemas.wps.cn/vas-ai-hub/contract-review">8</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2e9c7332-be4d-4b55-bf3a-71d3bba6fc9f</errorID>
      <errorWord xmlns="http://schemas.wps.cn/vas-ai-hub/contract-review">上云用数赋智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“上云用数赋智”</item>
      </candidateList>
      <explain xmlns="http://schemas.wps.cn/vas-ai-hub/contract-review">注意检查当前固定表述标点是否使用规范。</explain>
      <paraID xmlns="http://schemas.wps.cn/vas-ai-hub/contract-review">10C2464C</paraID>
      <start xmlns="http://schemas.wps.cn/vas-ai-hub/contract-review">119</start>
      <end xmlns="http://schemas.wps.cn/vas-ai-hub/contract-review">125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eca6033e-a61b-4b68-8e3c-4d38742f2701</errorID>
      <errorWord xmlns="http://schemas.wps.cn/vas-ai-hub/contract-review">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障性</item>
      </candidateList>
      <explain xmlns="http://schemas.wps.cn/vas-ai-hub/contract-review"/>
      <paraID xmlns="http://schemas.wps.cn/vas-ai-hub/contract-review">394DD24B</paraID>
      <start xmlns="http://schemas.wps.cn/vas-ai-hub/contract-review">209</start>
      <end xmlns="http://schemas.wps.cn/vas-ai-hub/contract-review">210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9cdcfc63-6aaa-44f1-98e6-dabbbaa081ec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4643A578</paraID>
      <start xmlns="http://schemas.wps.cn/vas-ai-hub/contract-review">65</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0f7a4b73-0a02-486e-86c9-de2cd368f8bf</errorID>
      <errorWord xmlns="http://schemas.wps.cn/vas-ai-hub/contract-review">医疗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患者医疗</item>
      </candidateList>
      <explain xmlns="http://schemas.wps.cn/vas-ai-hub/contract-review"/>
      <paraID xmlns="http://schemas.wps.cn/vas-ai-hub/contract-review">2F56F287</paraID>
      <start xmlns="http://schemas.wps.cn/vas-ai-hub/contract-review">103</start>
      <end xmlns="http://schemas.wps.cn/vas-ai-hub/contract-review">105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7dca0920-b732-45f4-95f8-21cd8dccc436</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负担。</item>
      </candidateList>
      <explain xmlns="http://schemas.wps.cn/vas-ai-hub/contract-review"/>
      <paraID xmlns="http://schemas.wps.cn/vas-ai-hub/contract-review">2F56F287</paraID>
      <start xmlns="http://schemas.wps.cn/vas-ai-hub/contract-review">107</start>
      <end xmlns="http://schemas.wps.cn/vas-ai-hub/contract-review">108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043cd767-72c2-40a6-8319-68ffc9c84d9a</errorID>
      <errorWord xmlns="http://schemas.wps.cn/vas-ai-hub/contract-review">区委区政府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区委、区政府</item>
      </candidateList>
      <explain xmlns="http://schemas.wps.cn/vas-ai-hub/contract-review">注意检查当前固定表述标点是否使用规范。</explain>
      <paraID xmlns="http://schemas.wps.cn/vas-ai-hub/contract-review">28B97EC6</paraID>
      <start xmlns="http://schemas.wps.cn/vas-ai-hub/contract-review">17</start>
      <end xmlns="http://schemas.wps.cn/vas-ai-hub/contract-review">22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754a39-37a4-4910-8b71-bb1e887dd225}">
  <ds:schemaRefs/>
</ds:datastoreItem>
</file>

<file path=customXml/itemProps3.xml><?xml version="1.0" encoding="utf-8"?>
<ds:datastoreItem xmlns:ds="http://schemas.openxmlformats.org/officeDocument/2006/customXml" ds:itemID="{74D1C831-F6AE-450F-AAA3-E571AA6EECBF}">
  <ds:schemaRefs/>
</ds:datastoreItem>
</file>

<file path=docProps/app.xml><?xml version="1.0" encoding="utf-8"?>
<Properties xmlns="http://schemas.openxmlformats.org/officeDocument/2006/extended-properties" xmlns:vt="http://schemas.openxmlformats.org/officeDocument/2006/docPropsVTypes">
  <Template>Normal</Template>
  <Pages>27</Pages>
  <Words>25</Words>
  <Characters>25</Characters>
  <Lines>19</Lines>
  <Paragraphs>5</Paragraphs>
  <TotalTime>1393</TotalTime>
  <ScaleCrop>false</ScaleCrop>
  <LinksUpToDate>false</LinksUpToDate>
  <CharactersWithSpaces>27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2021-11-05T09:21:00Z</dcterms:created>
  <dc:creator>K62512</dc:creator>
  <cp:lastModifiedBy>HIGC</cp:lastModifiedBy>
  <cp:lastPrinted>2026-10-23T07:37:00Z</cp:lastPrinted>
  <dcterms:modified xsi:type="dcterms:W3CDTF">2026-10-26T15:15:40Z</dcterms:modified>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56D70A54C56A45A6A8D4113AB3DD4A8A_13</vt:lpwstr>
  </property>
  <property fmtid="{D5CDD505-2E9C-101B-9397-08002B2CF9AE}" pid="4" name="KSOTemplateDocerSaveRecord">
    <vt:lpwstr>eyJoZGlkIjoiOWE1MWM3MzU1YjA0YjdjOWYwOTdhMzhmOTc1NWMzNjYiLCJ1c2VySWQiOiIxMzAyMDE0MzUzIn0=</vt:lpwstr>
  </property>
</Properties>
</file>