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延庆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区</w:t>
      </w:r>
      <w:r>
        <w:rPr>
          <w:rFonts w:hint="eastAsia" w:ascii="方正小标宋简体" w:eastAsia="方正小标宋简体"/>
          <w:sz w:val="44"/>
          <w:szCs w:val="44"/>
          <w:highlight w:val="none"/>
          <w:lang w:val="en-US" w:eastAsia="zh-CN"/>
        </w:rPr>
        <w:t>关于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加强科技创新引领</w:t>
      </w:r>
      <w:r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  <w:t>产业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高质量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发展</w:t>
      </w:r>
      <w:r>
        <w:rPr>
          <w:rFonts w:hint="eastAsia" w:ascii="方正小标宋简体" w:eastAsia="方正小标宋简体"/>
          <w:sz w:val="44"/>
          <w:szCs w:val="44"/>
          <w:highlight w:val="none"/>
          <w:lang w:eastAsia="zh-CN"/>
        </w:rPr>
        <w:t>的若干措施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（征求意见稿）</w:t>
      </w:r>
    </w:p>
    <w:p>
      <w:pPr>
        <w:pStyle w:val="2"/>
        <w:spacing w:after="0" w:line="560" w:lineRule="exact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为全面落实北京（京津冀）国际科技创新中心建设战略部署，主动融入中关村世界领先科技园区建设，支持延庆区企业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创新发展</w:t>
      </w:r>
      <w:r>
        <w:rPr>
          <w:rFonts w:hint="eastAsia" w:ascii="仿宋_GB2312" w:eastAsia="仿宋_GB2312"/>
          <w:sz w:val="32"/>
          <w:szCs w:val="32"/>
          <w:highlight w:val="none"/>
        </w:rPr>
        <w:t>，构建具有延庆特色的绿色“高精尖”产业结构，制定本措施。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条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</w:rPr>
        <w:t>企业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开展科技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eastAsia="zh-CN"/>
        </w:rPr>
        <w:t>研发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</w:rPr>
        <w:t>。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聚焦延庆区科技计划重点方向，加大研发投入力度，对推动传统技术革新突破、引导行业创新能级提升、产生重大市场价值的科技研发项目，采取前资助或后补助等方式给予资金支持，单个项目给予最高500万元资金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sz w:val="32"/>
          <w:szCs w:val="32"/>
          <w:highlight w:val="none"/>
          <w:lang w:val="en-US" w:eastAsia="zh-CN"/>
        </w:rPr>
        <w:t>第二条</w:t>
      </w:r>
      <w:r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支持企业绿色化、智能化发展。鼓励制造业、信息和软件服务业企业开展绿色化、智能化技术改</w:t>
      </w:r>
      <w:bookmarkStart w:id="1" w:name="_GoBack"/>
      <w:bookmarkEnd w:id="1"/>
      <w:r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造提升，引导企业开展设备更新、数字赋能、节能降碳，按不超过项目核定总投资的10%给予支持，单个项目给予最高200万元资金支持。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after="0" w:line="560" w:lineRule="exact"/>
        <w:ind w:firstLine="640" w:firstLineChars="200"/>
        <w:textAlignment w:val="auto"/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条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支持应用场景建设和示范。建立动态更新的场景资源开放清单，推动政府部门、企事业单位积极开放场景资源，对以应用场景驱动技术迭代和成果转化、实现新技术新产品落地验证或示范应用的场景项目，采取前资助方式，按照项目总投资的30%，给予最高50万元资金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eastAsia="黑体" w:cs="黑体"/>
          <w:bCs/>
          <w:sz w:val="32"/>
          <w:szCs w:val="32"/>
          <w:highlight w:val="none"/>
        </w:rPr>
        <w:t>第</w:t>
      </w:r>
      <w:r>
        <w:rPr>
          <w:rFonts w:hint="eastAsia" w:ascii="黑体" w:eastAsia="黑体" w:cs="黑体"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eastAsia="黑体" w:cs="黑体"/>
          <w:bCs/>
          <w:sz w:val="32"/>
          <w:szCs w:val="32"/>
          <w:highlight w:val="none"/>
        </w:rPr>
        <w:t>条</w:t>
      </w:r>
      <w:r>
        <w:rPr>
          <w:rFonts w:ascii="黑体" w:eastAsia="黑体" w:cs="黑体"/>
          <w:bCs/>
          <w:sz w:val="32"/>
          <w:szCs w:val="32"/>
          <w:highlight w:val="none"/>
        </w:rPr>
        <w:t xml:space="preserve">  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支持高新技术企业创新能力提升。支持国家高新技术企业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提升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技术研发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成果转化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知识产权运营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等能力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采取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后补助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方式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，单个企业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给予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最高10万元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资金支持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 xml:space="preserve">条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支持中小企业梯度成长。对近两年研发费用均不低于100万元的北京市“专精特新”中小企业，给予最高10万元一次性支持；对近两年研发费用合计不低于1200万元的国家专精特新“小巨人”企业，给予最高50万元一次性支持；单个企业不重复支持，晋级享受差额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黑体" w:eastAsia="仿宋_GB2312" w:cs="黑体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 xml:space="preserve">条 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eastAsia="仿宋_GB2312" w:cs="Courier New"/>
          <w:bCs w:val="0"/>
          <w:color w:val="auto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科技服务业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效能提升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。支持规模以上科学研究和技术服务业企业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在团队建设、技术迭代、服务能力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等方面进行提升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根据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其服务企业数量、技术服务成效、产业带动价值等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给予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后补助，单个企业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给予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最高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0万元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资金支持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eastAsia="zh-CN"/>
        </w:rPr>
        <w:t>第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eastAsia="zh-CN"/>
        </w:rPr>
        <w:t>条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支持科技成果转移转化。对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开展科技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成果筛选与价值评估、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知识产权布局与运营、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供需对接、技术交易、落地孵化等专业服务的技术转移机构，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根据年度转化科技成果项目的数量和质量、服务企业的数量和效果，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采取后补助方式，给予最高100万元资金支持。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pacing w:before="0" w:beforeAutospacing="0" w:afterAutospacing="0" w:line="560" w:lineRule="exact"/>
        <w:ind w:left="0" w:right="0" w:firstLine="640" w:firstLineChars="200"/>
        <w:jc w:val="left"/>
        <w:textAlignment w:val="auto"/>
        <w:outlineLvl w:val="1"/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 xml:space="preserve">第八条  </w:t>
      </w:r>
      <w:r>
        <w:rPr>
          <w:rFonts w:hint="eastAsia" w:ascii="仿宋_GB2312" w:eastAsia="仿宋_GB2312" w:cs="Courier New"/>
          <w:bCs w:val="0"/>
          <w:color w:val="auto"/>
          <w:sz w:val="32"/>
          <w:szCs w:val="32"/>
          <w:highlight w:val="none"/>
        </w:rPr>
        <w:t>支持中试服务机构建设。支持企业围绕技术研发转化、性能工艺改进、工艺放大熟化、产品型式试验、产品性能测试等工程化验证需求，建设中试验证平台，对中试服务能力突出、成效显著的企业，采取后补助方式，给予最高100万元资金支持。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pacing w:before="0" w:beforeAutospacing="0" w:afterAutospacing="0" w:line="560" w:lineRule="exact"/>
        <w:ind w:left="0" w:right="0" w:firstLine="640" w:firstLineChars="200"/>
        <w:jc w:val="left"/>
        <w:textAlignment w:val="auto"/>
        <w:outlineLvl w:val="1"/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黑体" w:eastAsia="黑体" w:cs="黑体"/>
          <w:bCs/>
          <w:color w:val="auto"/>
          <w:sz w:val="32"/>
          <w:szCs w:val="32"/>
          <w:highlight w:val="none"/>
        </w:rPr>
        <w:t xml:space="preserve">条  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支持创新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平台建设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。对在我区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市级及以上重点实验室、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创新中心、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工程研究中心、企业技术中心、外资研发中心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校（院）企合作平台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等研发平台，给予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一次性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eastAsia="zh-CN"/>
        </w:rPr>
        <w:t>资金支持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，市级平台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给予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最高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0万元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资金支持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，国家级平台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给予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最高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50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资金支持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。单个企业不重复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_GB2312" w:eastAsia="仿宋_GB2312" w:cs="Courier New"/>
          <w:color w:val="auto"/>
          <w:sz w:val="32"/>
          <w:szCs w:val="32"/>
          <w:highlight w:val="none"/>
        </w:rPr>
        <w:t>，晋级享受差额支持。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Cs/>
          <w:sz w:val="32"/>
          <w:szCs w:val="32"/>
          <w:highlight w:val="none"/>
          <w:lang w:eastAsia="zh-CN"/>
        </w:rPr>
        <w:t>第</w:t>
      </w:r>
      <w:r>
        <w:rPr>
          <w:rFonts w:hint="eastAsia" w:ascii="黑体" w:eastAsia="黑体" w:cs="黑体"/>
          <w:bCs/>
          <w:sz w:val="32"/>
          <w:szCs w:val="32"/>
          <w:highlight w:val="none"/>
          <w:lang w:val="en-US" w:eastAsia="zh-CN"/>
        </w:rPr>
        <w:t>十</w:t>
      </w:r>
      <w:r>
        <w:rPr>
          <w:rFonts w:hint="eastAsia" w:ascii="黑体" w:eastAsia="黑体" w:cs="黑体"/>
          <w:bCs/>
          <w:sz w:val="32"/>
          <w:szCs w:val="32"/>
          <w:highlight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支持特色产业园区建设。鼓励专业化企业和机构建设运营特色产业园区，依据专业服务、产业配套、企业引育、风险防控等运营成效，给予最高500万元年度运营经费支持。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0" w:name="OLE_LINK1"/>
      <w:r>
        <w:rPr>
          <w:rFonts w:hint="eastAsia" w:ascii="黑体" w:eastAsia="黑体" w:cs="黑体"/>
          <w:bCs/>
          <w:sz w:val="32"/>
          <w:szCs w:val="32"/>
          <w:highlight w:val="none"/>
          <w:lang w:eastAsia="zh-CN"/>
        </w:rPr>
        <w:t>第</w:t>
      </w:r>
      <w:r>
        <w:rPr>
          <w:rFonts w:hint="eastAsia" w:ascii="黑体" w:eastAsia="黑体" w:cs="黑体"/>
          <w:bCs/>
          <w:sz w:val="32"/>
          <w:szCs w:val="32"/>
          <w:highlight w:val="none"/>
          <w:lang w:val="en-US" w:eastAsia="zh-CN"/>
        </w:rPr>
        <w:t>十一</w:t>
      </w:r>
      <w:r>
        <w:rPr>
          <w:rFonts w:hint="eastAsia" w:ascii="黑体" w:eastAsia="黑体" w:cs="黑体"/>
          <w:bCs/>
          <w:sz w:val="32"/>
          <w:szCs w:val="32"/>
          <w:highlight w:val="none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重点产业聚链成群。支持本区各主导产业链主企业牵头补链、延链、强链，促进上下游中小企业集聚发展和建设协同配套的产业链供应链体系，根据产业体系建设实际成效给予最高100万元资金扶持。</w:t>
      </w:r>
      <w:bookmarkEnd w:id="0"/>
    </w:p>
    <w:p>
      <w:pPr>
        <w:keepNext w:val="0"/>
        <w:keepLines w:val="0"/>
        <w:widowControl/>
        <w:suppressLineNumbers w:val="0"/>
        <w:spacing w:line="560" w:lineRule="exact"/>
        <w:ind w:firstLine="640" w:firstLineChars="200"/>
        <w:jc w:val="both"/>
      </w:pPr>
      <w:r>
        <w:rPr>
          <w:rFonts w:hint="eastAsia" w:ascii="仿宋_GB2312" w:eastAsia="仿宋_GB2312"/>
          <w:sz w:val="32"/>
          <w:szCs w:val="32"/>
          <w:highlight w:val="none"/>
        </w:rPr>
        <w:t>本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eastAsia="zh-CN"/>
        </w:rPr>
        <w:t>措施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</w:rPr>
        <w:t>由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val="en-US" w:eastAsia="zh-CN"/>
        </w:rPr>
        <w:t>北京市延庆区科学技术和经济信息化局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eastAsia="zh-CN"/>
        </w:rPr>
        <w:t>中关村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val="en-US" w:eastAsia="zh-CN"/>
        </w:rPr>
        <w:t>科技园区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</w:rPr>
        <w:t>延庆园管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val="en-US" w:eastAsia="zh-CN"/>
        </w:rPr>
        <w:t>理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</w:rPr>
        <w:t>委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</w:rPr>
        <w:t>会）负责解释</w:t>
      </w:r>
      <w:r>
        <w:rPr>
          <w:rFonts w:hint="eastAsia" w:ascii="仿宋_GB2312" w:eastAsia="仿宋_GB2312"/>
          <w:spacing w:val="-11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印发之日</w:t>
      </w:r>
      <w:r>
        <w:rPr>
          <w:rFonts w:hint="eastAsia" w:ascii="仿宋_GB2312" w:hAnsi="仿宋_GB2312" w:eastAsia="仿宋_GB2312" w:cs="仿宋_GB2312"/>
          <w:sz w:val="32"/>
          <w:szCs w:val="32"/>
        </w:rPr>
        <w:t>起施行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原《延庆区关于加强科技创新引领高质量发展支持办法》（京延科信发〔2025〕2号</w:t>
      </w:r>
      <w:r>
        <w:rPr>
          <w:rFonts w:hint="eastAsia" w:ascii="仿宋_GB2312" w:eastAsia="仿宋_GB2312"/>
          <w:sz w:val="32"/>
          <w:szCs w:val="32"/>
          <w:highlight w:val="none"/>
        </w:rPr>
        <w:t>）同时废止。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同一项目、同一事项同时符合本措施多项条款或延庆区其他扶持政策的，按照“从优不重复”原则给予支持。执行期间，法律、法规、规章另有规定或遇政策调整的，从其规定。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6" w:h="16838"/>
      <w:pgMar w:top="1474" w:right="1587" w:bottom="1474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posOffset>4803775</wp:posOffset>
              </wp:positionH>
              <wp:positionV relativeFrom="paragraph">
                <wp:posOffset>-262255</wp:posOffset>
              </wp:positionV>
              <wp:extent cx="6223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300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78.25pt;margin-top:-20.65pt;height:18.15pt;width:49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BYAAABkcnMvUEsBAhQAFAAAAAgAh07iQOxZpTnc&#10;AAAACgEAAA8AAAAAAAAAAQAgAAAAOAAAAGRycy9kb3ducmV2LnhtbFBLAQIUABQAAAAIAIdO4kAT&#10;2vB9zQEAAHQDAAAOAAAAAAAAAAEAIAAAAEEBAABkcnMvZTJvRG9jLnhtbFBLBQYAAAAABgAGAFkB&#10;AACA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asci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9606915</wp:posOffset>
              </wp:positionV>
              <wp:extent cx="1828800" cy="182880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756.45pt;height:144pt;width:144pt;mso-position-horizontal:outside;mso-position-horizontal-relative:margin;mso-position-vertical-relative:page;mso-wrap-style:none;z-index:251660288;mso-width-relative:page;mso-height-relative:page;" filled="f" stroked="f" coordsize="21600,21600" o:gfxdata="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WAAAAZHJzL1BLAQIUABQAAAAIAIdO4kCPvpOO1AAAAAoBAAAPAAAAAAAA&#10;AAEAIAAAADgAAABkcnMvZG93bnJldi54bWxQSwECFAAUAAAACACHTuJAbRYtkscBAAB7AwAADgAA&#10;AAAAAAABACAAAAA5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evenAndOddHeaders w:val="true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MWZhMDg2ZmE1NzA3N2IwYTM1NWU2ZmRkNTQxOTAifQ=="/>
  </w:docVars>
  <w:rsids>
    <w:rsidRoot w:val="00C06DD2"/>
    <w:rsid w:val="001D12AC"/>
    <w:rsid w:val="009905C4"/>
    <w:rsid w:val="03983B0F"/>
    <w:rsid w:val="05AC7CD5"/>
    <w:rsid w:val="062B2DFD"/>
    <w:rsid w:val="062C0CFF"/>
    <w:rsid w:val="06D22892"/>
    <w:rsid w:val="07444310"/>
    <w:rsid w:val="07B66386"/>
    <w:rsid w:val="07E04497"/>
    <w:rsid w:val="08874A92"/>
    <w:rsid w:val="099377CB"/>
    <w:rsid w:val="09D13629"/>
    <w:rsid w:val="0B352404"/>
    <w:rsid w:val="0D186278"/>
    <w:rsid w:val="0F8B118C"/>
    <w:rsid w:val="1061735A"/>
    <w:rsid w:val="10A02A15"/>
    <w:rsid w:val="10E15433"/>
    <w:rsid w:val="11095E14"/>
    <w:rsid w:val="13596EAB"/>
    <w:rsid w:val="147D6BCA"/>
    <w:rsid w:val="167B0167"/>
    <w:rsid w:val="16D911F8"/>
    <w:rsid w:val="187F1162"/>
    <w:rsid w:val="193A514B"/>
    <w:rsid w:val="194D4555"/>
    <w:rsid w:val="1A7C1C81"/>
    <w:rsid w:val="1AEF468E"/>
    <w:rsid w:val="1B136891"/>
    <w:rsid w:val="1B37B137"/>
    <w:rsid w:val="1B6044BF"/>
    <w:rsid w:val="1CCB73E3"/>
    <w:rsid w:val="1D3F66AD"/>
    <w:rsid w:val="1E277364"/>
    <w:rsid w:val="1FF57F5C"/>
    <w:rsid w:val="206848D3"/>
    <w:rsid w:val="20D9162C"/>
    <w:rsid w:val="20E51D75"/>
    <w:rsid w:val="211C60E8"/>
    <w:rsid w:val="21DC52E5"/>
    <w:rsid w:val="220A7126"/>
    <w:rsid w:val="22A16626"/>
    <w:rsid w:val="257DA613"/>
    <w:rsid w:val="25C9788B"/>
    <w:rsid w:val="25D908D5"/>
    <w:rsid w:val="26377520"/>
    <w:rsid w:val="26797161"/>
    <w:rsid w:val="27895353"/>
    <w:rsid w:val="27E561AD"/>
    <w:rsid w:val="281178FD"/>
    <w:rsid w:val="28C9421D"/>
    <w:rsid w:val="291D4E95"/>
    <w:rsid w:val="299B1B74"/>
    <w:rsid w:val="2AED63FF"/>
    <w:rsid w:val="2CBA5779"/>
    <w:rsid w:val="2CDD4252"/>
    <w:rsid w:val="2FA67067"/>
    <w:rsid w:val="2FBC45F2"/>
    <w:rsid w:val="30536D05"/>
    <w:rsid w:val="3098113D"/>
    <w:rsid w:val="310E37E5"/>
    <w:rsid w:val="31197302"/>
    <w:rsid w:val="314F1BC2"/>
    <w:rsid w:val="3172765E"/>
    <w:rsid w:val="32847649"/>
    <w:rsid w:val="337121D4"/>
    <w:rsid w:val="338A1F13"/>
    <w:rsid w:val="33E681B6"/>
    <w:rsid w:val="34FD36E3"/>
    <w:rsid w:val="37963B52"/>
    <w:rsid w:val="38B927E7"/>
    <w:rsid w:val="3946010D"/>
    <w:rsid w:val="39F632B2"/>
    <w:rsid w:val="3A323D7F"/>
    <w:rsid w:val="3A8752B5"/>
    <w:rsid w:val="3B1B651A"/>
    <w:rsid w:val="3B2C2F74"/>
    <w:rsid w:val="3B777025"/>
    <w:rsid w:val="3BBF16F2"/>
    <w:rsid w:val="3BF46CAE"/>
    <w:rsid w:val="3C6856D5"/>
    <w:rsid w:val="3C746980"/>
    <w:rsid w:val="3DD034F3"/>
    <w:rsid w:val="3EA76D05"/>
    <w:rsid w:val="3F1D4F90"/>
    <w:rsid w:val="3F6B9733"/>
    <w:rsid w:val="3FEE27CF"/>
    <w:rsid w:val="400B75FC"/>
    <w:rsid w:val="40EA38FC"/>
    <w:rsid w:val="40F66B4C"/>
    <w:rsid w:val="413B411D"/>
    <w:rsid w:val="41601281"/>
    <w:rsid w:val="42033988"/>
    <w:rsid w:val="432804C5"/>
    <w:rsid w:val="465B295F"/>
    <w:rsid w:val="46667440"/>
    <w:rsid w:val="475A2C17"/>
    <w:rsid w:val="48B67F09"/>
    <w:rsid w:val="4B7319F2"/>
    <w:rsid w:val="4BBEE62A"/>
    <w:rsid w:val="4C3F1485"/>
    <w:rsid w:val="4D4E0B28"/>
    <w:rsid w:val="4D8F7F77"/>
    <w:rsid w:val="4E77352D"/>
    <w:rsid w:val="4FE505CC"/>
    <w:rsid w:val="50250266"/>
    <w:rsid w:val="50CD10CD"/>
    <w:rsid w:val="51C07CD4"/>
    <w:rsid w:val="5317755F"/>
    <w:rsid w:val="53605111"/>
    <w:rsid w:val="53D8047F"/>
    <w:rsid w:val="540F7CBD"/>
    <w:rsid w:val="54210D44"/>
    <w:rsid w:val="545033D7"/>
    <w:rsid w:val="55DF066E"/>
    <w:rsid w:val="56AE958C"/>
    <w:rsid w:val="56F40A6F"/>
    <w:rsid w:val="57491B13"/>
    <w:rsid w:val="587A0A23"/>
    <w:rsid w:val="59564CDC"/>
    <w:rsid w:val="59A27392"/>
    <w:rsid w:val="59D941FA"/>
    <w:rsid w:val="5A056A12"/>
    <w:rsid w:val="5BD73B37"/>
    <w:rsid w:val="5D72616D"/>
    <w:rsid w:val="5DE349EC"/>
    <w:rsid w:val="5E494F87"/>
    <w:rsid w:val="5E833A8F"/>
    <w:rsid w:val="5ECB1347"/>
    <w:rsid w:val="5F333E68"/>
    <w:rsid w:val="62BB05B6"/>
    <w:rsid w:val="62D37915"/>
    <w:rsid w:val="62EB7D8F"/>
    <w:rsid w:val="632930B9"/>
    <w:rsid w:val="637244D5"/>
    <w:rsid w:val="63D87C65"/>
    <w:rsid w:val="641A130C"/>
    <w:rsid w:val="64CA10D0"/>
    <w:rsid w:val="65CEE003"/>
    <w:rsid w:val="66065E78"/>
    <w:rsid w:val="684921C0"/>
    <w:rsid w:val="68947C28"/>
    <w:rsid w:val="68E4072F"/>
    <w:rsid w:val="69AB1384"/>
    <w:rsid w:val="6BF6995E"/>
    <w:rsid w:val="6C9C167F"/>
    <w:rsid w:val="6CA82041"/>
    <w:rsid w:val="6CA9147F"/>
    <w:rsid w:val="6D542D5C"/>
    <w:rsid w:val="6DFEB98A"/>
    <w:rsid w:val="6E106C60"/>
    <w:rsid w:val="6F6AD625"/>
    <w:rsid w:val="6F7D1BA2"/>
    <w:rsid w:val="6F7F43B4"/>
    <w:rsid w:val="6FD9207B"/>
    <w:rsid w:val="6FFFBCAC"/>
    <w:rsid w:val="70C01A70"/>
    <w:rsid w:val="72063EF0"/>
    <w:rsid w:val="736A0DF1"/>
    <w:rsid w:val="74DB7AFE"/>
    <w:rsid w:val="75E55642"/>
    <w:rsid w:val="75F754E7"/>
    <w:rsid w:val="77220C5B"/>
    <w:rsid w:val="77EDC783"/>
    <w:rsid w:val="78951039"/>
    <w:rsid w:val="78C06ABA"/>
    <w:rsid w:val="7B116B6D"/>
    <w:rsid w:val="7B141D30"/>
    <w:rsid w:val="7B7049AB"/>
    <w:rsid w:val="7B9D6653"/>
    <w:rsid w:val="7BFF5F31"/>
    <w:rsid w:val="7D3B6123"/>
    <w:rsid w:val="7D952E84"/>
    <w:rsid w:val="7E337BC9"/>
    <w:rsid w:val="7EEE12F9"/>
    <w:rsid w:val="7EFF9EB5"/>
    <w:rsid w:val="7F6DE17F"/>
    <w:rsid w:val="7F7BF5D0"/>
    <w:rsid w:val="7F7C05AB"/>
    <w:rsid w:val="7F7F2BAC"/>
    <w:rsid w:val="7FE9D56F"/>
    <w:rsid w:val="7FFFDFAD"/>
    <w:rsid w:val="9F7F0B89"/>
    <w:rsid w:val="AB3FC749"/>
    <w:rsid w:val="AF3EFC94"/>
    <w:rsid w:val="AF76A81B"/>
    <w:rsid w:val="BAFF68C0"/>
    <w:rsid w:val="BBBDD633"/>
    <w:rsid w:val="BBDF9FB4"/>
    <w:rsid w:val="C9EB14BC"/>
    <w:rsid w:val="E39F6B99"/>
    <w:rsid w:val="EBFD9E10"/>
    <w:rsid w:val="EBFE111E"/>
    <w:rsid w:val="ED7D062B"/>
    <w:rsid w:val="EEC72C54"/>
    <w:rsid w:val="EFFEE8F7"/>
    <w:rsid w:val="F3EE4FDB"/>
    <w:rsid w:val="F7FF1E70"/>
    <w:rsid w:val="FAFFE9BD"/>
    <w:rsid w:val="FBFDA0C1"/>
    <w:rsid w:val="FBFE7F45"/>
    <w:rsid w:val="FCFBEBF8"/>
    <w:rsid w:val="FE965EE1"/>
    <w:rsid w:val="FEEF9B85"/>
    <w:rsid w:val="FF7FE5B0"/>
    <w:rsid w:val="FFDFEA1F"/>
    <w:rsid w:val="FFF79E40"/>
    <w:rsid w:val="FFFBB196"/>
    <w:rsid w:val="FFFF26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5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6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22">
    <w:name w:val="Default Paragraph Font"/>
    <w:qFormat/>
    <w:uiPriority w:val="0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7">
    <w:name w:val="Normal Indent"/>
    <w:basedOn w:val="1"/>
    <w:next w:val="1"/>
    <w:qFormat/>
    <w:uiPriority w:val="0"/>
    <w:pPr>
      <w:ind w:firstLine="200" w:firstLineChars="200"/>
    </w:pPr>
  </w:style>
  <w:style w:type="paragraph" w:styleId="8">
    <w:name w:val="Body Text Indent"/>
    <w:basedOn w:val="1"/>
    <w:next w:val="7"/>
    <w:qFormat/>
    <w:uiPriority w:val="0"/>
    <w:pPr>
      <w:ind w:firstLine="200" w:firstLineChars="200"/>
    </w:pPr>
    <w:rPr>
      <w:rFonts w:ascii="Calibri" w:hAnsi="Calibri" w:eastAsia="仿宋_GB2312"/>
      <w:sz w:val="32"/>
      <w:szCs w:val="22"/>
    </w:rPr>
  </w:style>
  <w:style w:type="paragraph" w:styleId="9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10">
    <w:name w:val="Plain Text"/>
    <w:basedOn w:val="1"/>
    <w:next w:val="11"/>
    <w:qFormat/>
    <w:uiPriority w:val="0"/>
    <w:rPr>
      <w:rFonts w:ascii="宋体" w:cs="Courier New"/>
      <w:szCs w:val="21"/>
      <w:lang w:bidi="ar-SA"/>
    </w:rPr>
  </w:style>
  <w:style w:type="paragraph" w:styleId="11">
    <w:name w:val="toc 2"/>
    <w:basedOn w:val="1"/>
    <w:next w:val="1"/>
    <w:qFormat/>
    <w:uiPriority w:val="0"/>
    <w:pPr>
      <w:widowControl w:val="0"/>
      <w:ind w:left="200" w:left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12">
    <w:name w:val="Body Text Indent 2"/>
    <w:basedOn w:val="1"/>
    <w:qFormat/>
    <w:uiPriority w:val="0"/>
    <w:pPr>
      <w:tabs>
        <w:tab w:val="left" w:pos="8460"/>
      </w:tabs>
      <w:ind w:firstLine="200" w:firstLineChars="200"/>
    </w:pPr>
    <w:rPr>
      <w:rFonts w:ascii="仿宋_GB2312" w:eastAsia="仿宋_GB2312" w:cs="Times New Roman"/>
      <w:sz w:val="32"/>
      <w:szCs w:val="20"/>
      <w:lang w:bidi="ar-SA"/>
    </w:rPr>
  </w:style>
  <w:style w:type="paragraph" w:styleId="1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index heading"/>
    <w:basedOn w:val="1"/>
    <w:next w:val="16"/>
    <w:qFormat/>
    <w:uiPriority w:val="0"/>
    <w:rPr>
      <w:rFonts w:ascii="Arial" w:hAnsi="Arial"/>
      <w:b/>
      <w:sz w:val="21"/>
    </w:rPr>
  </w:style>
  <w:style w:type="paragraph" w:styleId="16">
    <w:name w:val="index 1"/>
    <w:basedOn w:val="1"/>
    <w:next w:val="1"/>
    <w:qFormat/>
    <w:uiPriority w:val="0"/>
    <w:rPr>
      <w:sz w:val="21"/>
    </w:rPr>
  </w:style>
  <w:style w:type="paragraph" w:styleId="17">
    <w:name w:val="index 9"/>
    <w:basedOn w:val="1"/>
    <w:next w:val="1"/>
    <w:semiHidden/>
    <w:qFormat/>
    <w:uiPriority w:val="99"/>
    <w:pPr>
      <w:ind w:left="3360"/>
      <w:jc w:val="left"/>
    </w:p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widowControl/>
      <w:spacing w:before="100" w:beforeAutospacing="1" w:after="119"/>
      <w:ind w:firstLine="420"/>
    </w:pPr>
    <w:rPr>
      <w:rFonts w:ascii="宋体" w:cs="宋体"/>
      <w:kern w:val="0"/>
      <w:sz w:val="20"/>
      <w:szCs w:val="20"/>
      <w:lang w:bidi="ar-SA"/>
    </w:rPr>
  </w:style>
  <w:style w:type="paragraph" w:styleId="20">
    <w:name w:val="Body Text First Indent 2"/>
    <w:basedOn w:val="8"/>
    <w:next w:val="12"/>
    <w:qFormat/>
    <w:uiPriority w:val="0"/>
    <w:pPr>
      <w:spacing w:after="120"/>
      <w:ind w:left="200" w:leftChars="200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styleId="23">
    <w:name w:val="Strong"/>
    <w:qFormat/>
    <w:uiPriority w:val="0"/>
    <w:rPr>
      <w:b/>
    </w:rPr>
  </w:style>
  <w:style w:type="character" w:styleId="24">
    <w:name w:val="Hyperlink"/>
    <w:basedOn w:val="22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paragraph" w:customStyle="1" w:styleId="25">
    <w:name w:val="Default"/>
    <w:next w:val="1"/>
    <w:qFormat/>
    <w:uiPriority w:val="0"/>
    <w:pPr>
      <w:widowControl w:val="0"/>
      <w:autoSpaceDE w:val="0"/>
      <w:autoSpaceDN w:val="0"/>
      <w:adjustRightInd w:val="0"/>
      <w:snapToGrid w:val="0"/>
      <w:spacing w:line="560" w:lineRule="exact"/>
      <w:ind w:firstLine="880" w:firstLineChars="200"/>
    </w:pPr>
    <w:rPr>
      <w:rFonts w:ascii="方正仿宋_GB2312" w:hAnsi="方正仿宋_GB2312" w:eastAsia="方正仿宋_GB2312" w:cs="仿宋_GB2312"/>
      <w:color w:val="000000"/>
      <w:sz w:val="24"/>
      <w:szCs w:val="24"/>
      <w:lang w:val="en-US" w:eastAsia="zh-CN" w:bidi="ar-SA"/>
    </w:rPr>
  </w:style>
  <w:style w:type="paragraph" w:customStyle="1" w:styleId="26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27">
    <w:name w:val="公文正文"/>
    <w:basedOn w:val="1"/>
    <w:qFormat/>
    <w:uiPriority w:val="0"/>
    <w:pPr>
      <w:snapToGrid w:val="0"/>
      <w:spacing w:line="560" w:lineRule="exact"/>
      <w:ind w:firstLine="177" w:firstLineChars="177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1361</Words>
  <Characters>1391</Characters>
  <Lines>9</Lines>
  <Paragraphs>2</Paragraphs>
  <TotalTime>0</TotalTime>
  <ScaleCrop>false</ScaleCrop>
  <LinksUpToDate>false</LinksUpToDate>
  <CharactersWithSpaces>1411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2023-02-12T22:55:00Z</dcterms:created>
  <dc:creator>Administrator</dc:creator>
  <cp:lastModifiedBy>uos</cp:lastModifiedBy>
  <cp:lastPrinted>2026-08-19T02:42:00Z</cp:lastPrinted>
  <dcterms:modified xsi:type="dcterms:W3CDTF">2026-09-23T09:54:54Z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950EDAD4AB131C0093717E6ADB93E2A5_43</vt:lpwstr>
  </property>
  <property fmtid="{D5CDD505-2E9C-101B-9397-08002B2CF9AE}" pid="4" name="KSOTemplateDocerSaveRecord">
    <vt:lpwstr>eyJoZGlkIjoiNGYxZTM3OTZjMWUxZWQ4NjQ4ZGM3NDcwYmMwNTIwYWYiLCJ1c2VySWQiOiI2OTI5MjYzOTgifQ==</vt:lpwstr>
  </property>
</Properties>
</file>