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52BCB">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大兴区“十五五”时期商业发展规划</w:t>
      </w:r>
      <w:r>
        <w:rPr>
          <w:rFonts w:hint="eastAsia" w:ascii="方正小标宋简体" w:hAnsi="方正小标宋简体" w:eastAsia="方正小标宋简体" w:cs="方正小标宋简体"/>
          <w:sz w:val="44"/>
          <w:szCs w:val="44"/>
        </w:rPr>
        <w:t>（征求意见稿）</w:t>
      </w:r>
      <w:r>
        <w:rPr>
          <w:rFonts w:hint="eastAsia" w:ascii="方正小标宋简体" w:hAnsi="仿宋_GB2312" w:eastAsia="方正小标宋简体" w:cs="方正小标宋简体"/>
          <w:sz w:val="44"/>
          <w:szCs w:val="44"/>
        </w:rPr>
        <w:t>》的起草说明</w:t>
      </w:r>
    </w:p>
    <w:p w14:paraId="712DF23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p>
    <w:p w14:paraId="0AB248A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outlineLvl w:val="0"/>
        <w:rPr>
          <w:rFonts w:hint="eastAsia" w:ascii="黑体" w:hAnsi="黑体" w:eastAsia="黑体" w:cs="黑体"/>
          <w:color w:val="000000"/>
          <w:sz w:val="32"/>
          <w:szCs w:val="32"/>
        </w:rPr>
      </w:pPr>
      <w:r>
        <w:rPr>
          <w:rFonts w:hint="eastAsia" w:ascii="黑体" w:hAnsi="黑体" w:eastAsia="黑体" w:cs="黑体"/>
          <w:color w:val="000000"/>
          <w:sz w:val="32"/>
          <w:szCs w:val="32"/>
        </w:rPr>
        <w:t>一、</w:t>
      </w:r>
      <w:r>
        <w:rPr>
          <w:rFonts w:hint="eastAsia" w:ascii="黑体" w:hAnsi="黑体" w:eastAsia="黑体" w:cs="黑体"/>
          <w:color w:val="000000"/>
          <w:sz w:val="32"/>
          <w:szCs w:val="32"/>
          <w:lang w:eastAsia="zh-CN"/>
        </w:rPr>
        <w:t>起草</w:t>
      </w:r>
      <w:r>
        <w:rPr>
          <w:rFonts w:hint="eastAsia" w:ascii="黑体" w:hAnsi="黑体" w:eastAsia="黑体" w:cs="黑体"/>
          <w:color w:val="000000"/>
          <w:sz w:val="32"/>
          <w:szCs w:val="32"/>
        </w:rPr>
        <w:t>背景</w:t>
      </w:r>
    </w:p>
    <w:p w14:paraId="24E19FA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000000" w:themeColor="text1"/>
          <w:sz w:val="32"/>
          <w:szCs w:val="21"/>
          <w:highlight w:val="none"/>
          <w14:textFill>
            <w14:solidFill>
              <w14:schemeClr w14:val="tx1"/>
            </w14:solidFill>
          </w14:textFill>
        </w:rPr>
      </w:pPr>
      <w:r>
        <w:rPr>
          <w:rFonts w:hint="eastAsia" w:ascii="仿宋_GB2312" w:hAnsi="仿宋_GB2312" w:eastAsia="仿宋_GB2312" w:cs="仿宋_GB2312"/>
          <w:color w:val="000000" w:themeColor="text1"/>
          <w:sz w:val="32"/>
          <w:szCs w:val="21"/>
          <w:highlight w:val="none"/>
          <w14:textFill>
            <w14:solidFill>
              <w14:schemeClr w14:val="tx1"/>
            </w14:solidFill>
          </w14:textFill>
        </w:rPr>
        <w:t>“十五五”时期是基本实现社会主义现代化夯实基础、全面发力的关键时期，是北京率先基本实现社会主义现代化的</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战略机遇期</w:t>
      </w:r>
      <w:r>
        <w:rPr>
          <w:rFonts w:hint="eastAsia" w:ascii="仿宋_GB2312" w:hAnsi="仿宋_GB2312" w:eastAsia="仿宋_GB2312" w:cs="仿宋_GB2312"/>
          <w:color w:val="000000" w:themeColor="text1"/>
          <w:sz w:val="32"/>
          <w:szCs w:val="21"/>
          <w:highlight w:val="none"/>
          <w14:textFill>
            <w14:solidFill>
              <w14:schemeClr w14:val="tx1"/>
            </w14:solidFill>
          </w14:textFill>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也是大兴区深化城市功能定位、</w:t>
      </w:r>
      <w:r>
        <w:rPr>
          <w:rFonts w:hint="eastAsia" w:ascii="仿宋_GB2312" w:hAnsi="仿宋_GB2312" w:eastAsia="仿宋_GB2312" w:cs="仿宋_GB2312"/>
          <w:color w:val="auto"/>
          <w:sz w:val="32"/>
          <w:szCs w:val="32"/>
          <w:highlight w:val="none"/>
          <w:shd w:val="clear" w:fill="FFFFFF"/>
        </w:rPr>
        <w:t>建设繁荣开放国门新城的关键五</w:t>
      </w:r>
      <w:r>
        <w:rPr>
          <w:rFonts w:hint="eastAsia" w:ascii="仿宋_GB2312" w:hAnsi="仿宋_GB2312" w:eastAsia="仿宋_GB2312" w:cs="仿宋_GB2312"/>
          <w:color w:val="auto"/>
          <w:spacing w:val="0"/>
          <w:sz w:val="32"/>
          <w:szCs w:val="32"/>
          <w:highlight w:val="none"/>
          <w:shd w:val="clear" w:fill="FFFFFF"/>
        </w:rPr>
        <w:t>年</w:t>
      </w:r>
      <w:r>
        <w:rPr>
          <w:rFonts w:hint="eastAsia" w:ascii="仿宋_GB2312" w:hAnsi="仿宋_GB2312" w:eastAsia="仿宋_GB2312" w:cs="仿宋_GB2312"/>
          <w:color w:val="auto"/>
          <w:spacing w:val="0"/>
          <w:sz w:val="32"/>
          <w:szCs w:val="32"/>
          <w:highlight w:val="none"/>
          <w:shd w:val="clear" w:fill="FFFFFF"/>
          <w:lang w:eastAsia="zh-CN"/>
        </w:rPr>
        <w:t>。</w:t>
      </w:r>
      <w:r>
        <w:rPr>
          <w:rFonts w:hint="eastAsia" w:ascii="仿宋_GB2312" w:hAnsi="仿宋_GB2312" w:eastAsia="仿宋_GB2312" w:cs="仿宋_GB2312"/>
          <w:color w:val="000000" w:themeColor="text1"/>
          <w:sz w:val="32"/>
          <w:szCs w:val="21"/>
          <w:highlight w:val="none"/>
          <w14:textFill>
            <w14:solidFill>
              <w14:schemeClr w14:val="tx1"/>
            </w14:solidFill>
          </w14:textFill>
        </w:rPr>
        <w:t>科学编制“十五五”商业发展规划，系统谋划未来五年全区商业高质量发展路径，是主动顺应内外部发展环境深刻变化的客观需要，</w:t>
      </w:r>
      <w:r>
        <w:rPr>
          <w:rFonts w:ascii="仿宋_GB2312" w:eastAsia="仿宋_GB2312"/>
          <w:sz w:val="32"/>
          <w:szCs w:val="32"/>
        </w:rPr>
        <w:t>是规划工作贯彻全面依法治国的应有之义。本规划以习近平新时代中国特色社会主义思想为根本遵循，深入贯彻习近平总书记关于扩大内需、促进消费的重要论述，全面落实党的二十大及历次全会精神，</w:t>
      </w:r>
      <w:r>
        <w:rPr>
          <w:rFonts w:hint="eastAsia" w:ascii="仿宋_GB2312" w:hAnsi="仿宋_GB2312" w:eastAsia="仿宋_GB2312" w:cs="仿宋_GB2312"/>
          <w:color w:val="000000" w:themeColor="text1"/>
          <w:sz w:val="32"/>
          <w:szCs w:val="21"/>
          <w:highlight w:val="none"/>
          <w14:textFill>
            <w14:solidFill>
              <w14:schemeClr w14:val="tx1"/>
            </w14:solidFill>
          </w14:textFill>
        </w:rPr>
        <w:t>落实中央、市委及区委关于“十五五”规划的建议，</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是</w:t>
      </w:r>
      <w:r>
        <w:rPr>
          <w:rFonts w:hint="eastAsia" w:ascii="仿宋_GB2312" w:hAnsi="仿宋_GB2312" w:eastAsia="仿宋_GB2312" w:cs="仿宋_GB2312"/>
          <w:color w:val="000000" w:themeColor="text1"/>
          <w:sz w:val="32"/>
          <w:szCs w:val="21"/>
          <w:highlight w:val="none"/>
          <w14:textFill>
            <w14:solidFill>
              <w14:schemeClr w14:val="tx1"/>
            </w14:solidFill>
          </w14:textFill>
        </w:rPr>
        <w:t>指导全区未来五年商业高质量发展和消费市场扩容升级的纲领性文件。</w:t>
      </w:r>
    </w:p>
    <w:p w14:paraId="32CD76B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outlineLvl w:val="0"/>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二、起草过程</w:t>
      </w:r>
    </w:p>
    <w:p w14:paraId="5FE38F3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000000" w:themeColor="text1"/>
          <w:sz w:val="32"/>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21"/>
          <w:highlight w:val="none"/>
          <w14:textFill>
            <w14:solidFill>
              <w14:schemeClr w14:val="tx1"/>
            </w14:solidFill>
          </w14:textFill>
        </w:rPr>
        <w:t>本规划在全面评估大兴区“十四五”时期</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商业</w:t>
      </w:r>
      <w:r>
        <w:rPr>
          <w:rFonts w:hint="eastAsia" w:ascii="仿宋_GB2312" w:hAnsi="仿宋_GB2312" w:eastAsia="仿宋_GB2312" w:cs="仿宋_GB2312"/>
          <w:color w:val="000000" w:themeColor="text1"/>
          <w:sz w:val="32"/>
          <w:szCs w:val="21"/>
          <w:highlight w:val="none"/>
          <w14:textFill>
            <w14:solidFill>
              <w14:schemeClr w14:val="tx1"/>
            </w14:solidFill>
          </w14:textFill>
        </w:rPr>
        <w:t>发展情况的基础上</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21"/>
          <w:highlight w:val="none"/>
          <w:lang w:val="en-US" w:eastAsia="zh-CN"/>
          <w14:textFill>
            <w14:solidFill>
              <w14:schemeClr w14:val="tx1"/>
            </w14:solidFill>
          </w14:textFill>
        </w:rPr>
        <w:t>依据《中共北京市</w:t>
      </w:r>
      <w:r>
        <w:rPr>
          <w:rFonts w:hint="default" w:ascii="仿宋_GB2312" w:hAnsi="仿宋_GB2312" w:eastAsia="仿宋_GB2312" w:cs="仿宋_GB2312"/>
          <w:color w:val="000000" w:themeColor="text1"/>
          <w:sz w:val="32"/>
          <w:szCs w:val="21"/>
          <w:highlight w:val="none"/>
          <w:lang w:val="en-US" w:eastAsia="zh-CN"/>
          <w14:textFill>
            <w14:solidFill>
              <w14:schemeClr w14:val="tx1"/>
            </w14:solidFill>
          </w14:textFill>
        </w:rPr>
        <w:t>大兴区委关于制定大兴区国民经济和社会发展第十五个五年规划的建议</w:t>
      </w:r>
      <w:r>
        <w:rPr>
          <w:rFonts w:hint="eastAsia" w:ascii="仿宋_GB2312" w:hAnsi="仿宋_GB2312" w:eastAsia="仿宋_GB2312" w:cs="仿宋_GB2312"/>
          <w:color w:val="000000" w:themeColor="text1"/>
          <w:sz w:val="32"/>
          <w:szCs w:val="21"/>
          <w:highlight w:val="none"/>
          <w:lang w:val="en-US" w:eastAsia="zh-CN"/>
          <w14:textFill>
            <w14:solidFill>
              <w14:schemeClr w14:val="tx1"/>
            </w14:solidFill>
          </w14:textFill>
        </w:rPr>
        <w:t>》《北京市大兴区国民经济和社会发展第十五个五年规划纲要》《北京市“十五五”时期深化国际消费中心城市建设规划（征求意见稿）》等上位规划和文件编制，并与区文旅、体育等专项规划服务消费内容紧密衔接。起草过程中，已面向区属相关单位征求多轮意见建议并予以完善，现形成公开征求意见文稿。</w:t>
      </w:r>
    </w:p>
    <w:p w14:paraId="45640C9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outlineLvl w:val="0"/>
        <w:rPr>
          <w:rFonts w:hint="eastAsia" w:ascii="黑体" w:hAnsi="黑体" w:eastAsia="黑体" w:cs="黑体"/>
          <w:color w:val="000000"/>
          <w:sz w:val="32"/>
          <w:szCs w:val="32"/>
        </w:rPr>
      </w:pPr>
      <w:r>
        <w:rPr>
          <w:rFonts w:hint="eastAsia" w:ascii="黑体" w:hAnsi="黑体" w:eastAsia="黑体" w:cs="黑体"/>
          <w:color w:val="000000"/>
          <w:sz w:val="32"/>
          <w:szCs w:val="32"/>
        </w:rPr>
        <w:t>三、主要内容</w:t>
      </w:r>
    </w:p>
    <w:p w14:paraId="4C930290">
      <w:pPr>
        <w:pStyle w:val="3"/>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规划文本整体分为四大部分，系统阐明发展基础、总体部署、重点任务与保障措施。</w:t>
      </w:r>
    </w:p>
    <w:p w14:paraId="7B8EA17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1"/>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第一部分：发展基础与形势要求</w:t>
      </w:r>
    </w:p>
    <w:p w14:paraId="43F39AC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val="0"/>
          <w:bCs w:val="0"/>
          <w:sz w:val="32"/>
          <w:szCs w:val="32"/>
          <w:lang w:eastAsia="zh-CN"/>
        </w:rPr>
        <w:t>全面总结大兴区“十四五”时期商业发展取得成效，客观分析“十五五”时期商业发展面临的机遇、挑战。</w:t>
      </w:r>
    </w:p>
    <w:p w14:paraId="7E6FD6F1">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1"/>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第二部分：发展总体要求</w:t>
      </w:r>
    </w:p>
    <w:p w14:paraId="03623CF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包含指导思想、基本原则、发展目标、空间布局四项内容。</w:t>
      </w:r>
    </w:p>
    <w:p w14:paraId="5C0D557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b w:val="0"/>
          <w:bCs w:val="0"/>
          <w:i w:val="0"/>
          <w:iCs w:val="0"/>
          <w:caps w:val="0"/>
          <w:color w:val="0D0D0D" w:themeColor="text1" w:themeTint="F2"/>
          <w:spacing w:val="0"/>
          <w:kern w:val="2"/>
          <w:sz w:val="32"/>
          <w:szCs w:val="32"/>
          <w:highlight w:val="none"/>
          <w:shd w:val="clear" w:fill="auto"/>
          <w:lang w:eastAsia="zh-CN"/>
          <w14:textFill>
            <w14:solidFill>
              <w14:schemeClr w14:val="tx1">
                <w14:lumMod w14:val="95000"/>
                <w14:lumOff w14:val="5000"/>
              </w14:schemeClr>
            </w14:solidFill>
          </w14:textFill>
        </w:rPr>
      </w:pPr>
      <w:r>
        <w:rPr>
          <w:rFonts w:hint="eastAsia" w:ascii="仿宋_GB2312" w:hAnsi="仿宋_GB2312" w:eastAsia="仿宋_GB2312" w:cs="仿宋_GB2312"/>
          <w:b/>
          <w:bCs/>
          <w:i w:val="0"/>
          <w:iCs w:val="0"/>
          <w:caps w:val="0"/>
          <w:color w:val="0D0D0D" w:themeColor="text1" w:themeTint="F2"/>
          <w:spacing w:val="0"/>
          <w:kern w:val="2"/>
          <w:sz w:val="32"/>
          <w:szCs w:val="32"/>
          <w:highlight w:val="none"/>
          <w:shd w:val="clear" w:fill="auto"/>
          <w:lang w:val="en-US" w:eastAsia="zh-CN"/>
          <w14:textFill>
            <w14:solidFill>
              <w14:schemeClr w14:val="tx1">
                <w14:lumMod w14:val="95000"/>
                <w14:lumOff w14:val="5000"/>
              </w14:schemeClr>
            </w14:solidFill>
          </w14:textFill>
        </w:rPr>
        <w:t>1.</w:t>
      </w:r>
      <w:r>
        <w:rPr>
          <w:rFonts w:hint="eastAsia" w:ascii="仿宋_GB2312" w:hAnsi="仿宋_GB2312" w:eastAsia="仿宋_GB2312" w:cs="仿宋_GB2312"/>
          <w:b/>
          <w:bCs/>
          <w:i w:val="0"/>
          <w:iCs w:val="0"/>
          <w:caps w:val="0"/>
          <w:color w:val="0D0D0D" w:themeColor="text1" w:themeTint="F2"/>
          <w:spacing w:val="0"/>
          <w:kern w:val="2"/>
          <w:sz w:val="32"/>
          <w:szCs w:val="32"/>
          <w:highlight w:val="none"/>
          <w:shd w:val="clear" w:fill="auto"/>
          <w:lang w:eastAsia="zh-CN"/>
          <w14:textFill>
            <w14:solidFill>
              <w14:schemeClr w14:val="tx1">
                <w14:lumMod w14:val="95000"/>
                <w14:lumOff w14:val="5000"/>
              </w14:schemeClr>
            </w14:solidFill>
          </w14:textFill>
        </w:rPr>
        <w:t>指导思想。</w:t>
      </w:r>
      <w:r>
        <w:rPr>
          <w:rFonts w:hint="eastAsia" w:ascii="仿宋_GB2312" w:hAnsi="仿宋_GB2312" w:eastAsia="仿宋_GB2312" w:cs="仿宋_GB2312"/>
          <w:b w:val="0"/>
          <w:bCs w:val="0"/>
          <w:i w:val="0"/>
          <w:iCs w:val="0"/>
          <w:caps w:val="0"/>
          <w:color w:val="0D0D0D" w:themeColor="text1" w:themeTint="F2"/>
          <w:spacing w:val="0"/>
          <w:kern w:val="2"/>
          <w:sz w:val="32"/>
          <w:szCs w:val="32"/>
          <w:highlight w:val="none"/>
          <w:shd w:val="clear" w:fill="auto"/>
          <w:lang w:eastAsia="zh-CN"/>
          <w14:textFill>
            <w14:solidFill>
              <w14:schemeClr w14:val="tx1">
                <w14:lumMod w14:val="95000"/>
                <w14:lumOff w14:val="5000"/>
              </w14:schemeClr>
            </w14:solidFill>
          </w14:textFill>
        </w:rPr>
        <w:t>以满足消费升级和产业配套为导向，优化商业布局、完善商贸体系、扩大优质供给、拓展模式场景、深化开放合作、提升消费环境，补短板、提品质、强品牌、亮特色，全面提升消费市场规模和能级，为“6+5+3”产业格局构建提供有力支撑，为北京国际消费中心城市建设贡献大兴力量。</w:t>
      </w:r>
    </w:p>
    <w:p w14:paraId="0586BF4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b w:val="0"/>
          <w:bCs w:val="0"/>
          <w:color w:val="000000"/>
          <w:sz w:val="32"/>
          <w:szCs w:val="32"/>
          <w:highlight w:val="none"/>
          <w:shd w:val="clear" w:fill="auto"/>
          <w:lang w:val="en-US" w:eastAsia="zh-CN"/>
        </w:rPr>
      </w:pPr>
      <w:r>
        <w:rPr>
          <w:rFonts w:hint="eastAsia" w:ascii="仿宋_GB2312" w:hAnsi="仿宋_GB2312" w:eastAsia="仿宋_GB2312" w:cs="仿宋_GB2312"/>
          <w:b/>
          <w:bCs/>
          <w:i w:val="0"/>
          <w:iCs w:val="0"/>
          <w:caps w:val="0"/>
          <w:color w:val="0D0D0D" w:themeColor="text1" w:themeTint="F2"/>
          <w:spacing w:val="0"/>
          <w:kern w:val="2"/>
          <w:sz w:val="32"/>
          <w:szCs w:val="32"/>
          <w:highlight w:val="none"/>
          <w:shd w:val="clear" w:fill="auto"/>
          <w:lang w:val="en-US" w:eastAsia="zh-CN"/>
          <w14:textFill>
            <w14:solidFill>
              <w14:schemeClr w14:val="tx1">
                <w14:lumMod w14:val="95000"/>
                <w14:lumOff w14:val="5000"/>
              </w14:schemeClr>
            </w14:solidFill>
          </w14:textFill>
        </w:rPr>
        <w:t>2.基本原则。</w:t>
      </w:r>
      <w:r>
        <w:rPr>
          <w:rFonts w:hint="eastAsia" w:ascii="仿宋_GB2312" w:hAnsi="仿宋_GB2312" w:eastAsia="仿宋_GB2312" w:cs="仿宋_GB2312"/>
          <w:b w:val="0"/>
          <w:bCs w:val="0"/>
          <w:color w:val="000000"/>
          <w:sz w:val="32"/>
          <w:szCs w:val="32"/>
          <w:highlight w:val="none"/>
          <w:shd w:val="clear" w:fill="auto"/>
          <w:lang w:val="en-US" w:eastAsia="zh-CN"/>
        </w:rPr>
        <w:t>坚持服务大局，彰显首都新国门魅力；坚持功能筑基，夯实新大兴发展支撑；坚持民生优先，增强人民群众幸福感；坚持开放协同，融入双循环互促格局。</w:t>
      </w:r>
    </w:p>
    <w:p w14:paraId="09B663E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b w:val="0"/>
          <w:bCs w:val="0"/>
          <w:i w:val="0"/>
          <w:iCs w:val="0"/>
          <w:caps w:val="0"/>
          <w:color w:val="000000"/>
          <w:spacing w:val="0"/>
          <w:sz w:val="32"/>
          <w:szCs w:val="32"/>
          <w:highlight w:val="none"/>
          <w:shd w:val="clear"/>
          <w:lang w:val="en-US" w:eastAsia="zh-CN"/>
        </w:rPr>
      </w:pPr>
      <w:r>
        <w:rPr>
          <w:rFonts w:hint="eastAsia" w:ascii="仿宋_GB2312" w:hAnsi="仿宋_GB2312" w:eastAsia="仿宋_GB2312" w:cs="仿宋_GB2312"/>
          <w:b/>
          <w:bCs/>
          <w:i w:val="0"/>
          <w:iCs w:val="0"/>
          <w:caps w:val="0"/>
          <w:color w:val="0D0D0D" w:themeColor="text1" w:themeTint="F2"/>
          <w:spacing w:val="0"/>
          <w:kern w:val="2"/>
          <w:sz w:val="32"/>
          <w:szCs w:val="32"/>
          <w:highlight w:val="none"/>
          <w:shd w:val="clear" w:fill="auto"/>
          <w:lang w:val="en-US" w:eastAsia="zh-CN"/>
          <w14:textFill>
            <w14:solidFill>
              <w14:schemeClr w14:val="tx1">
                <w14:lumMod w14:val="95000"/>
                <w14:lumOff w14:val="5000"/>
              </w14:schemeClr>
            </w14:solidFill>
          </w14:textFill>
        </w:rPr>
        <w:t>3.发展目标。</w:t>
      </w:r>
      <w:r>
        <w:rPr>
          <w:rFonts w:hint="eastAsia" w:ascii="仿宋_GB2312" w:hAnsi="仿宋_GB2312" w:eastAsia="仿宋_GB2312" w:cs="仿宋_GB2312"/>
          <w:b w:val="0"/>
          <w:bCs w:val="0"/>
          <w:color w:val="000000"/>
          <w:sz w:val="32"/>
          <w:szCs w:val="32"/>
          <w:highlight w:val="none"/>
          <w:shd w:val="clear" w:fill="auto"/>
          <w:lang w:val="en-US" w:eastAsia="zh-CN"/>
        </w:rPr>
        <w:t>提出以下量化指标：“十五五”期末，</w:t>
      </w:r>
      <w:r>
        <w:rPr>
          <w:rFonts w:hint="eastAsia" w:ascii="仿宋_GB2312" w:hAnsi="仿宋_GB2312" w:eastAsia="仿宋_GB2312" w:cs="仿宋_GB2312"/>
          <w:b w:val="0"/>
          <w:bCs w:val="0"/>
          <w:i w:val="0"/>
          <w:iCs w:val="0"/>
          <w:caps w:val="0"/>
          <w:color w:val="000000"/>
          <w:spacing w:val="0"/>
          <w:sz w:val="32"/>
          <w:szCs w:val="32"/>
          <w:highlight w:val="none"/>
          <w:shd w:val="clear" w:fill="auto"/>
          <w:lang w:val="en-US" w:eastAsia="zh-CN"/>
        </w:rPr>
        <w:t>社会消费品零售总额迈上千亿台阶；</w:t>
      </w:r>
      <w:r>
        <w:rPr>
          <w:rFonts w:hint="eastAsia" w:ascii="仿宋_GB2312" w:hAnsi="仿宋_GB2312" w:eastAsia="仿宋_GB2312" w:cs="仿宋_GB2312"/>
          <w:b w:val="0"/>
          <w:bCs w:val="0"/>
          <w:sz w:val="32"/>
          <w:szCs w:val="32"/>
          <w:highlight w:val="none"/>
          <w:lang w:val="en-US" w:eastAsia="zh-CN"/>
        </w:rPr>
        <w:t>总消费年均增速保持5%左右；</w:t>
      </w:r>
      <w:r>
        <w:rPr>
          <w:rFonts w:hint="eastAsia" w:ascii="仿宋_GB2312" w:hAnsi="仿宋_GB2312" w:eastAsia="仿宋_GB2312" w:cs="仿宋_GB2312"/>
          <w:b w:val="0"/>
          <w:bCs w:val="0"/>
          <w:i w:val="0"/>
          <w:iCs w:val="0"/>
          <w:caps w:val="0"/>
          <w:color w:val="000000"/>
          <w:spacing w:val="0"/>
          <w:sz w:val="32"/>
          <w:szCs w:val="32"/>
          <w:highlight w:val="none"/>
          <w:shd w:val="clear"/>
          <w:lang w:val="en-US" w:eastAsia="zh-CN"/>
        </w:rPr>
        <w:t>新增</w:t>
      </w:r>
      <w:r>
        <w:rPr>
          <w:rFonts w:hint="eastAsia" w:ascii="仿宋_GB2312" w:hAnsi="仿宋_GB2312" w:eastAsia="仿宋_GB2312" w:cs="仿宋_GB2312"/>
          <w:b w:val="0"/>
          <w:bCs w:val="0"/>
          <w:i w:val="0"/>
          <w:iCs w:val="0"/>
          <w:caps w:val="0"/>
          <w:color w:val="000000"/>
          <w:spacing w:val="0"/>
          <w:sz w:val="32"/>
          <w:szCs w:val="32"/>
          <w:highlight w:val="none"/>
          <w:shd w:val="clear"/>
          <w:lang w:eastAsia="zh-CN"/>
        </w:rPr>
        <w:t>地标项目</w:t>
      </w:r>
      <w:r>
        <w:rPr>
          <w:rFonts w:hint="eastAsia" w:ascii="仿宋_GB2312" w:hAnsi="仿宋_GB2312" w:eastAsia="仿宋_GB2312" w:cs="仿宋_GB2312"/>
          <w:b w:val="0"/>
          <w:bCs w:val="0"/>
          <w:i w:val="0"/>
          <w:iCs w:val="0"/>
          <w:caps w:val="0"/>
          <w:color w:val="000000"/>
          <w:spacing w:val="0"/>
          <w:sz w:val="32"/>
          <w:szCs w:val="32"/>
          <w:highlight w:val="none"/>
          <w:shd w:val="clear"/>
          <w:lang w:val="en-US" w:eastAsia="zh-CN"/>
        </w:rPr>
        <w:t>10个以上</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i w:val="0"/>
          <w:iCs w:val="0"/>
          <w:caps w:val="0"/>
          <w:color w:val="000000"/>
          <w:spacing w:val="0"/>
          <w:sz w:val="32"/>
          <w:szCs w:val="32"/>
          <w:highlight w:val="none"/>
          <w:shd w:val="clear"/>
          <w:lang w:val="en-US" w:eastAsia="zh-CN"/>
        </w:rPr>
        <w:t>首店、旗舰店累计达250家以上；</w:t>
      </w:r>
      <w:r>
        <w:rPr>
          <w:rFonts w:hint="eastAsia" w:ascii="仿宋_GB2312" w:hAnsi="仿宋_GB2312" w:eastAsia="仿宋_GB2312" w:cs="仿宋_GB2312"/>
          <w:b w:val="0"/>
          <w:bCs w:val="0"/>
          <w:i w:val="0"/>
          <w:iCs w:val="0"/>
          <w:caps w:val="0"/>
          <w:color w:val="000000"/>
          <w:spacing w:val="0"/>
          <w:sz w:val="32"/>
          <w:szCs w:val="32"/>
          <w:highlight w:val="none"/>
          <w:shd w:val="clear" w:fill="FFFFFF"/>
          <w:lang w:eastAsia="zh-CN"/>
        </w:rPr>
        <w:t>累计实际利用外资8亿美元。</w:t>
      </w:r>
    </w:p>
    <w:p w14:paraId="608D8F7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b w:val="0"/>
          <w:bCs w:val="0"/>
          <w:color w:val="000000"/>
          <w:sz w:val="32"/>
          <w:szCs w:val="32"/>
          <w:highlight w:val="none"/>
          <w:shd w:val="clear" w:fill="auto"/>
          <w:lang w:val="en-US" w:eastAsia="zh-CN"/>
        </w:rPr>
      </w:pPr>
      <w:r>
        <w:rPr>
          <w:rFonts w:hint="eastAsia" w:ascii="仿宋_GB2312" w:hAnsi="仿宋_GB2312" w:eastAsia="仿宋_GB2312" w:cs="仿宋_GB2312"/>
          <w:b/>
          <w:bCs/>
          <w:i w:val="0"/>
          <w:iCs w:val="0"/>
          <w:caps w:val="0"/>
          <w:color w:val="0D0D0D" w:themeColor="text1" w:themeTint="F2"/>
          <w:spacing w:val="0"/>
          <w:kern w:val="2"/>
          <w:sz w:val="32"/>
          <w:szCs w:val="32"/>
          <w:highlight w:val="none"/>
          <w:shd w:val="clear" w:fill="auto"/>
          <w:lang w:val="en-US" w:eastAsia="zh-CN"/>
          <w14:textFill>
            <w14:solidFill>
              <w14:schemeClr w14:val="tx1">
                <w14:lumMod w14:val="95000"/>
                <w14:lumOff w14:val="5000"/>
              </w14:schemeClr>
            </w14:solidFill>
          </w14:textFill>
        </w:rPr>
        <w:t>4.空间布局。</w:t>
      </w:r>
      <w:r>
        <w:rPr>
          <w:rFonts w:hint="eastAsia" w:ascii="仿宋_GB2312" w:hAnsi="仿宋_GB2312" w:eastAsia="仿宋_GB2312" w:cs="仿宋_GB2312"/>
          <w:b w:val="0"/>
          <w:bCs w:val="0"/>
          <w:color w:val="000000"/>
          <w:sz w:val="32"/>
          <w:szCs w:val="32"/>
          <w:highlight w:val="none"/>
          <w:shd w:val="clear" w:fill="auto"/>
          <w:lang w:val="en-US" w:eastAsia="zh-CN"/>
        </w:rPr>
        <w:t>构建“两核两带、八圈多点”格局。“两核”为大兴新城与临空经济区南北两大新城商业核心区；“两带”为四号线高品质商业发展带和南中轴文商</w:t>
      </w:r>
      <w:bookmarkStart w:id="94" w:name="_GoBack"/>
      <w:bookmarkEnd w:id="94"/>
      <w:r>
        <w:rPr>
          <w:rFonts w:hint="eastAsia" w:ascii="仿宋_GB2312" w:hAnsi="仿宋_GB2312" w:eastAsia="仿宋_GB2312" w:cs="仿宋_GB2312"/>
          <w:b w:val="0"/>
          <w:bCs w:val="0"/>
          <w:color w:val="000000"/>
          <w:sz w:val="32"/>
          <w:szCs w:val="32"/>
          <w:highlight w:val="none"/>
          <w:shd w:val="clear" w:fill="auto"/>
          <w:lang w:val="en-US" w:eastAsia="zh-CN"/>
        </w:rPr>
        <w:t>旅体展特色融合发展带；“八圈”为“2+6”八个商圈；“多点”为依托产业园区、特色小镇打造的商业微中心。</w:t>
      </w:r>
    </w:p>
    <w:p w14:paraId="13F1EF1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1"/>
        <w:rPr>
          <w:rFonts w:hint="eastAsia" w:ascii="仿宋_GB2312" w:hAnsi="仿宋_GB2312" w:eastAsia="仿宋_GB2312" w:cs="仿宋_GB2312"/>
          <w:b w:val="0"/>
          <w:bCs w:val="0"/>
          <w:color w:val="000000"/>
          <w:sz w:val="32"/>
          <w:szCs w:val="32"/>
          <w:highlight w:val="none"/>
          <w:shd w:val="clear" w:fill="auto"/>
          <w:lang w:val="en-US" w:eastAsia="zh-CN"/>
        </w:rPr>
      </w:pPr>
      <w:r>
        <w:rPr>
          <w:rFonts w:hint="eastAsia" w:ascii="仿宋_GB2312" w:hAnsi="仿宋_GB2312" w:eastAsia="仿宋_GB2312" w:cs="仿宋_GB2312"/>
          <w:b/>
          <w:bCs/>
          <w:sz w:val="32"/>
          <w:szCs w:val="32"/>
          <w:lang w:eastAsia="zh-CN"/>
        </w:rPr>
        <w:t>第三部分：</w:t>
      </w:r>
      <w:r>
        <w:rPr>
          <w:rFonts w:hint="eastAsia" w:ascii="仿宋_GB2312" w:hAnsi="仿宋_GB2312" w:eastAsia="仿宋_GB2312" w:cs="仿宋_GB2312"/>
          <w:b/>
          <w:bCs/>
          <w:color w:val="000000"/>
          <w:sz w:val="32"/>
          <w:szCs w:val="32"/>
          <w:highlight w:val="none"/>
          <w:shd w:val="clear" w:fill="auto"/>
          <w:lang w:val="en-US" w:eastAsia="zh-CN"/>
        </w:rPr>
        <w:t>规划重点任务</w:t>
      </w:r>
    </w:p>
    <w:p w14:paraId="09F6B7D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b w:val="0"/>
          <w:bCs w:val="0"/>
          <w:i w:val="0"/>
          <w:iCs w:val="0"/>
          <w:caps w:val="0"/>
          <w:color w:val="000000"/>
          <w:spacing w:val="0"/>
          <w:sz w:val="32"/>
          <w:szCs w:val="32"/>
          <w:highlight w:val="none"/>
          <w:shd w:val="clear"/>
          <w:lang w:eastAsia="zh-CN"/>
        </w:rPr>
      </w:pPr>
      <w:r>
        <w:rPr>
          <w:rFonts w:hint="eastAsia" w:ascii="仿宋_GB2312" w:hAnsi="仿宋_GB2312" w:eastAsia="仿宋_GB2312" w:cs="仿宋_GB2312"/>
          <w:b/>
          <w:bCs/>
          <w:color w:val="000000"/>
          <w:sz w:val="32"/>
          <w:szCs w:val="32"/>
          <w:highlight w:val="none"/>
          <w:shd w:val="clear" w:fill="auto"/>
          <w:lang w:val="en-US" w:eastAsia="zh-CN"/>
        </w:rPr>
        <w:t>1.打造高质量商业发展体系</w:t>
      </w:r>
      <w:r>
        <w:rPr>
          <w:rFonts w:hint="eastAsia" w:ascii="仿宋_GB2312" w:hAnsi="仿宋_GB2312" w:eastAsia="仿宋_GB2312" w:cs="仿宋_GB2312"/>
          <w:b w:val="0"/>
          <w:bCs w:val="0"/>
          <w:color w:val="000000"/>
          <w:sz w:val="32"/>
          <w:szCs w:val="32"/>
          <w:highlight w:val="none"/>
          <w:shd w:val="clear" w:fill="auto"/>
          <w:lang w:val="en-US" w:eastAsia="zh-CN"/>
        </w:rPr>
        <w:t>。</w:t>
      </w:r>
      <w:r>
        <w:rPr>
          <w:rFonts w:hint="eastAsia" w:ascii="仿宋_GB2312" w:hAnsi="仿宋_GB2312" w:eastAsia="仿宋_GB2312" w:cs="仿宋_GB2312"/>
          <w:b w:val="0"/>
          <w:bCs w:val="0"/>
          <w:sz w:val="32"/>
          <w:szCs w:val="32"/>
          <w:highlight w:val="none"/>
          <w:lang w:val="en-US" w:eastAsia="zh-CN"/>
        </w:rPr>
        <w:t>推</w:t>
      </w:r>
      <w:r>
        <w:rPr>
          <w:rFonts w:hint="eastAsia" w:ascii="仿宋_GB2312" w:hAnsi="仿宋_GB2312" w:eastAsia="仿宋_GB2312" w:cs="仿宋_GB2312"/>
          <w:b w:val="0"/>
          <w:bCs w:val="0"/>
          <w:color w:val="000000"/>
          <w:kern w:val="0"/>
          <w:sz w:val="32"/>
          <w:szCs w:val="32"/>
          <w:highlight w:val="none"/>
          <w:lang w:val="en-US" w:eastAsia="zh-CN" w:bidi="ar"/>
        </w:rPr>
        <w:t>动商圈发展提质升级，着力培育大兴机场枢纽世界级商圈，打造西红门荟聚百亿商圈标杆，持续推进火神庙、天宫院商圈改造升级，加快永定湾、大兴站等新增培育型商圈规划建设。围绕“6+5+3”产业布局，推动园区完善品牌餐饮、商务休闲、运动健身等服务设施，打造一批产业园区特色商业微中心。围绕</w:t>
      </w:r>
      <w:r>
        <w:rPr>
          <w:rFonts w:hint="eastAsia" w:ascii="仿宋_GB2312" w:hAnsi="仿宋_GB2312" w:eastAsia="仿宋_GB2312" w:cs="仿宋_GB2312"/>
          <w:b w:val="0"/>
          <w:bCs w:val="0"/>
          <w:color w:val="auto"/>
          <w:kern w:val="0"/>
          <w:sz w:val="32"/>
          <w:szCs w:val="32"/>
          <w:highlight w:val="none"/>
          <w:lang w:val="en-US" w:eastAsia="zh-CN" w:bidi="ar"/>
        </w:rPr>
        <w:t>采育数字时尚小镇、</w:t>
      </w:r>
      <w:r>
        <w:rPr>
          <w:rFonts w:hint="eastAsia" w:ascii="仿宋_GB2312" w:hAnsi="仿宋_GB2312" w:eastAsia="仿宋_GB2312" w:cs="仿宋_GB2312"/>
          <w:b w:val="0"/>
          <w:bCs w:val="0"/>
          <w:color w:val="auto"/>
          <w:sz w:val="32"/>
          <w:szCs w:val="32"/>
          <w:highlight w:val="none"/>
          <w:lang w:val="en-US" w:eastAsia="zh-CN"/>
        </w:rPr>
        <w:t>庞各庄西瓜小镇、</w:t>
      </w:r>
      <w:r>
        <w:rPr>
          <w:rFonts w:hint="eastAsia" w:ascii="仿宋_GB2312" w:hAnsi="仿宋_GB2312" w:eastAsia="仿宋_GB2312" w:cs="仿宋_GB2312"/>
          <w:b w:val="0"/>
          <w:bCs w:val="0"/>
          <w:i w:val="0"/>
          <w:iCs w:val="0"/>
          <w:caps w:val="0"/>
          <w:color w:val="000000"/>
          <w:spacing w:val="0"/>
          <w:sz w:val="32"/>
          <w:szCs w:val="32"/>
          <w:highlight w:val="none"/>
          <w:shd w:val="clear" w:fill="auto"/>
          <w:lang w:eastAsia="zh-CN"/>
        </w:rPr>
        <w:t>礼贤和榆垡空港小镇等特色小镇建设，完善商业服务配套，</w:t>
      </w:r>
      <w:r>
        <w:rPr>
          <w:rFonts w:hint="eastAsia" w:ascii="仿宋_GB2312" w:hAnsi="仿宋_GB2312" w:eastAsia="仿宋_GB2312" w:cs="仿宋_GB2312"/>
          <w:b w:val="0"/>
          <w:bCs w:val="0"/>
          <w:color w:val="000000"/>
          <w:kern w:val="0"/>
          <w:sz w:val="32"/>
          <w:szCs w:val="32"/>
          <w:highlight w:val="none"/>
          <w:lang w:val="en-US" w:eastAsia="zh-CN" w:bidi="ar"/>
        </w:rPr>
        <w:t>打造一批特色小镇商业微中心。</w:t>
      </w:r>
      <w:r>
        <w:rPr>
          <w:rFonts w:hint="eastAsia" w:ascii="仿宋_GB2312" w:hAnsi="仿宋_GB2312" w:eastAsia="仿宋_GB2312" w:cs="仿宋_GB2312"/>
          <w:b w:val="0"/>
          <w:bCs w:val="0"/>
          <w:color w:val="000000"/>
          <w:sz w:val="32"/>
          <w:szCs w:val="32"/>
          <w:highlight w:val="none"/>
          <w:lang w:val="en-US" w:eastAsia="zh-CN"/>
        </w:rPr>
        <w:t>深化实施区商业</w:t>
      </w:r>
      <w:r>
        <w:rPr>
          <w:rFonts w:hint="eastAsia" w:ascii="仿宋_GB2312" w:hAnsi="仿宋_GB2312" w:eastAsia="仿宋_GB2312" w:cs="仿宋_GB2312"/>
          <w:b w:val="0"/>
          <w:bCs w:val="0"/>
          <w:sz w:val="32"/>
          <w:szCs w:val="32"/>
          <w:highlight w:val="none"/>
          <w:lang w:eastAsia="zh-CN"/>
        </w:rPr>
        <w:t>高质量发展“千百十”工程，通过更新和新建，打造</w:t>
      </w:r>
      <w:r>
        <w:rPr>
          <w:rFonts w:hint="eastAsia" w:ascii="仿宋_GB2312" w:hAnsi="仿宋_GB2312" w:eastAsia="仿宋_GB2312" w:cs="仿宋_GB2312"/>
          <w:b w:val="0"/>
          <w:bCs w:val="0"/>
          <w:i w:val="0"/>
          <w:iCs w:val="0"/>
          <w:caps w:val="0"/>
          <w:color w:val="000000"/>
          <w:spacing w:val="0"/>
          <w:sz w:val="32"/>
          <w:szCs w:val="32"/>
          <w:highlight w:val="none"/>
          <w:shd w:val="clear"/>
          <w:lang w:eastAsia="zh-CN"/>
        </w:rPr>
        <w:t>一批</w:t>
      </w:r>
      <w:r>
        <w:rPr>
          <w:rFonts w:hint="eastAsia" w:ascii="仿宋_GB2312" w:hAnsi="仿宋_GB2312" w:eastAsia="仿宋_GB2312" w:cs="仿宋_GB2312"/>
          <w:b w:val="0"/>
          <w:bCs w:val="0"/>
          <w:sz w:val="32"/>
          <w:szCs w:val="32"/>
          <w:highlight w:val="none"/>
          <w:lang w:val="en-US" w:eastAsia="zh-CN"/>
        </w:rPr>
        <w:t>融合型、</w:t>
      </w:r>
      <w:r>
        <w:rPr>
          <w:rFonts w:hint="eastAsia" w:ascii="仿宋_GB2312" w:hAnsi="仿宋_GB2312" w:eastAsia="仿宋_GB2312" w:cs="仿宋_GB2312"/>
          <w:b w:val="0"/>
          <w:bCs w:val="0"/>
          <w:i w:val="0"/>
          <w:iCs w:val="0"/>
          <w:caps w:val="0"/>
          <w:color w:val="000000"/>
          <w:spacing w:val="0"/>
          <w:sz w:val="32"/>
          <w:szCs w:val="32"/>
          <w:highlight w:val="none"/>
          <w:shd w:val="clear"/>
          <w:lang w:eastAsia="zh-CN"/>
        </w:rPr>
        <w:t>时尚型、策展型、主题式商业新地标。</w:t>
      </w:r>
      <w:r>
        <w:rPr>
          <w:rFonts w:hint="eastAsia" w:ascii="仿宋_GB2312" w:hAnsi="仿宋_GB2312" w:eastAsia="仿宋_GB2312" w:cs="仿宋_GB2312"/>
          <w:b w:val="0"/>
          <w:bCs w:val="0"/>
          <w:color w:val="000000"/>
          <w:kern w:val="0"/>
          <w:sz w:val="32"/>
          <w:szCs w:val="32"/>
          <w:highlight w:val="none"/>
          <w:lang w:val="en-US" w:eastAsia="zh-CN" w:bidi="ar"/>
        </w:rPr>
        <w:t>完善便捷优质的社区商业体系，鼓励社区嵌入式服务设施打造，支持新建社区配建一站式便民服务中心，促进“一老一小”、家政、物业等便民业态融合发展。</w:t>
      </w:r>
    </w:p>
    <w:p w14:paraId="4C1523F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000000"/>
          <w:sz w:val="32"/>
          <w:szCs w:val="32"/>
          <w:highlight w:val="none"/>
          <w:shd w:val="clear" w:fill="auto"/>
          <w:lang w:val="en-US" w:eastAsia="zh-CN"/>
        </w:rPr>
        <w:t>2.增强品质商业消费供给能力。</w:t>
      </w:r>
      <w:r>
        <w:rPr>
          <w:rFonts w:hint="eastAsia" w:ascii="仿宋_GB2312" w:hAnsi="仿宋_GB2312" w:eastAsia="仿宋_GB2312" w:cs="仿宋_GB2312"/>
          <w:b w:val="0"/>
          <w:bCs w:val="0"/>
          <w:sz w:val="32"/>
          <w:szCs w:val="32"/>
          <w:highlight w:val="none"/>
          <w:lang w:val="en-US" w:eastAsia="zh-CN"/>
        </w:rPr>
        <w:t>着力实施五大行动：</w:t>
      </w:r>
      <w:bookmarkStart w:id="0" w:name="_Toc23892"/>
      <w:bookmarkStart w:id="1" w:name="_Toc14771"/>
      <w:bookmarkStart w:id="2" w:name="_Toc17237"/>
      <w:bookmarkStart w:id="3" w:name="_Toc17085"/>
      <w:bookmarkStart w:id="4" w:name="_Toc24814"/>
      <w:bookmarkStart w:id="5" w:name="_Toc17334"/>
      <w:bookmarkStart w:id="6" w:name="_Toc4187"/>
      <w:r>
        <w:rPr>
          <w:rFonts w:hint="eastAsia" w:ascii="仿宋_GB2312" w:hAnsi="仿宋_GB2312" w:eastAsia="仿宋_GB2312" w:cs="仿宋_GB2312"/>
          <w:b w:val="0"/>
          <w:bCs w:val="0"/>
          <w:color w:val="auto"/>
          <w:sz w:val="32"/>
          <w:szCs w:val="32"/>
          <w:highlight w:val="none"/>
          <w:lang w:val="en-US" w:eastAsia="zh-CN"/>
        </w:rPr>
        <w:t>首店首发能级</w:t>
      </w:r>
      <w:bookmarkEnd w:id="0"/>
      <w:r>
        <w:rPr>
          <w:rFonts w:hint="eastAsia" w:ascii="仿宋_GB2312" w:hAnsi="仿宋_GB2312" w:eastAsia="仿宋_GB2312" w:cs="仿宋_GB2312"/>
          <w:b w:val="0"/>
          <w:bCs w:val="0"/>
          <w:color w:val="auto"/>
          <w:sz w:val="32"/>
          <w:szCs w:val="32"/>
          <w:highlight w:val="none"/>
          <w:lang w:val="en-US" w:eastAsia="zh-CN"/>
        </w:rPr>
        <w:t>提升行动</w:t>
      </w:r>
      <w:bookmarkEnd w:id="1"/>
      <w:bookmarkEnd w:id="2"/>
      <w:bookmarkEnd w:id="3"/>
      <w:bookmarkEnd w:id="4"/>
      <w:bookmarkEnd w:id="5"/>
      <w:bookmarkEnd w:id="6"/>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吸引一批亚洲首店、中国首店等高层级首店落地，</w:t>
      </w:r>
      <w:r>
        <w:rPr>
          <w:rFonts w:hint="eastAsia" w:ascii="仿宋_GB2312" w:hAnsi="仿宋_GB2312" w:eastAsia="仿宋_GB2312" w:cs="仿宋_GB2312"/>
          <w:b w:val="0"/>
          <w:bCs w:val="0"/>
          <w:color w:val="auto"/>
          <w:sz w:val="32"/>
          <w:szCs w:val="32"/>
          <w:highlight w:val="none"/>
          <w:u w:val="none"/>
          <w:lang w:val="en-US" w:eastAsia="zh-CN"/>
        </w:rPr>
        <w:t>创新打造</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fill="auto"/>
          <w:lang w:eastAsia="zh-CN"/>
        </w:rPr>
        <w:t>首店+</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”体验项目，</w:t>
      </w:r>
      <w:r>
        <w:rPr>
          <w:rFonts w:hint="eastAsia" w:ascii="仿宋_GB2312" w:hAnsi="仿宋_GB2312" w:eastAsia="仿宋_GB2312" w:cs="仿宋_GB2312"/>
          <w:b w:val="0"/>
          <w:bCs w:val="0"/>
          <w:color w:val="auto"/>
          <w:sz w:val="32"/>
          <w:szCs w:val="32"/>
          <w:highlight w:val="none"/>
          <w:lang w:val="en-US" w:eastAsia="zh-CN"/>
        </w:rPr>
        <w:t>培育“首发大兴”活动品牌。</w:t>
      </w:r>
      <w:bookmarkStart w:id="7" w:name="_Toc18888"/>
      <w:bookmarkStart w:id="8" w:name="_Toc19850"/>
      <w:bookmarkStart w:id="9" w:name="_Toc18144"/>
      <w:bookmarkStart w:id="10" w:name="_Toc17272"/>
      <w:bookmarkStart w:id="11" w:name="_Toc14151"/>
      <w:bookmarkStart w:id="12" w:name="_Toc24667"/>
      <w:bookmarkStart w:id="13" w:name="_Toc29454"/>
      <w:r>
        <w:rPr>
          <w:rFonts w:hint="eastAsia" w:ascii="仿宋_GB2312" w:hAnsi="仿宋_GB2312" w:eastAsia="仿宋_GB2312" w:cs="仿宋_GB2312"/>
          <w:b w:val="0"/>
          <w:bCs w:val="0"/>
          <w:sz w:val="32"/>
          <w:szCs w:val="32"/>
          <w:highlight w:val="none"/>
          <w:lang w:val="en-US" w:eastAsia="zh-CN"/>
        </w:rPr>
        <w:t>商业品牌汇聚提升行动</w:t>
      </w:r>
      <w:bookmarkEnd w:id="7"/>
      <w:bookmarkEnd w:id="8"/>
      <w:bookmarkEnd w:id="9"/>
      <w:bookmarkEnd w:id="10"/>
      <w:bookmarkEnd w:id="11"/>
      <w:bookmarkEnd w:id="12"/>
      <w:bookmarkEnd w:id="13"/>
      <w:r>
        <w:rPr>
          <w:rFonts w:hint="eastAsia" w:ascii="仿宋_GB2312" w:hAnsi="仿宋_GB2312" w:eastAsia="仿宋_GB2312" w:cs="仿宋_GB2312"/>
          <w:b w:val="0"/>
          <w:bCs w:val="0"/>
          <w:sz w:val="32"/>
          <w:szCs w:val="32"/>
          <w:highlight w:val="none"/>
          <w:lang w:val="en-US" w:eastAsia="zh-CN"/>
        </w:rPr>
        <w:t>，吸引</w:t>
      </w:r>
      <w:r>
        <w:rPr>
          <w:rFonts w:hint="eastAsia" w:ascii="仿宋_GB2312" w:hAnsi="仿宋_GB2312" w:eastAsia="仿宋_GB2312" w:cs="仿宋_GB2312"/>
          <w:b w:val="0"/>
          <w:bCs w:val="0"/>
          <w:sz w:val="32"/>
          <w:szCs w:val="32"/>
          <w:highlight w:val="none"/>
        </w:rPr>
        <w:t>全球知名品牌</w:t>
      </w:r>
      <w:r>
        <w:rPr>
          <w:rFonts w:hint="eastAsia" w:ascii="仿宋_GB2312" w:hAnsi="仿宋_GB2312" w:eastAsia="仿宋_GB2312" w:cs="仿宋_GB2312"/>
          <w:b w:val="0"/>
          <w:bCs w:val="0"/>
          <w:color w:val="auto"/>
          <w:sz w:val="32"/>
          <w:szCs w:val="32"/>
          <w:highlight w:val="none"/>
          <w:lang w:val="en-US" w:eastAsia="zh-CN"/>
        </w:rPr>
        <w:t>体验店</w:t>
      </w:r>
      <w:r>
        <w:rPr>
          <w:rFonts w:hint="eastAsia" w:ascii="仿宋_GB2312" w:hAnsi="仿宋_GB2312" w:eastAsia="仿宋_GB2312" w:cs="仿宋_GB2312"/>
          <w:b w:val="0"/>
          <w:bCs w:val="0"/>
          <w:sz w:val="32"/>
          <w:szCs w:val="32"/>
          <w:highlight w:val="none"/>
        </w:rPr>
        <w:t>、定制店、</w:t>
      </w:r>
      <w:r>
        <w:rPr>
          <w:rFonts w:hint="eastAsia" w:ascii="仿宋_GB2312" w:hAnsi="仿宋_GB2312" w:eastAsia="仿宋_GB2312" w:cs="仿宋_GB2312"/>
          <w:b w:val="0"/>
          <w:bCs w:val="0"/>
          <w:sz w:val="32"/>
          <w:szCs w:val="32"/>
          <w:highlight w:val="none"/>
          <w:lang w:eastAsia="zh-CN"/>
        </w:rPr>
        <w:t>集成店、</w:t>
      </w:r>
      <w:r>
        <w:rPr>
          <w:rFonts w:hint="eastAsia" w:ascii="仿宋_GB2312" w:hAnsi="仿宋_GB2312" w:eastAsia="仿宋_GB2312" w:cs="仿宋_GB2312"/>
          <w:b w:val="0"/>
          <w:bCs w:val="0"/>
          <w:sz w:val="32"/>
          <w:szCs w:val="32"/>
          <w:highlight w:val="none"/>
        </w:rPr>
        <w:t>潮牌店、新锐网红店等聚集</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rPr>
        <w:t>加强</w:t>
      </w:r>
      <w:r>
        <w:rPr>
          <w:rFonts w:hint="eastAsia" w:ascii="仿宋_GB2312" w:hAnsi="仿宋_GB2312" w:eastAsia="仿宋_GB2312" w:cs="仿宋_GB2312"/>
          <w:b w:val="0"/>
          <w:bCs w:val="0"/>
          <w:color w:val="000000"/>
          <w:kern w:val="0"/>
          <w:sz w:val="32"/>
          <w:szCs w:val="32"/>
          <w:highlight w:val="none"/>
          <w:lang w:eastAsia="zh-CN"/>
        </w:rPr>
        <w:t>大兴本土</w:t>
      </w:r>
      <w:r>
        <w:rPr>
          <w:rFonts w:hint="eastAsia" w:ascii="仿宋_GB2312" w:hAnsi="仿宋_GB2312" w:eastAsia="仿宋_GB2312" w:cs="仿宋_GB2312"/>
          <w:b w:val="0"/>
          <w:bCs w:val="0"/>
          <w:color w:val="000000"/>
          <w:kern w:val="0"/>
          <w:sz w:val="32"/>
          <w:szCs w:val="32"/>
          <w:highlight w:val="none"/>
        </w:rPr>
        <w:t>品牌</w:t>
      </w:r>
      <w:r>
        <w:rPr>
          <w:rFonts w:hint="eastAsia" w:ascii="仿宋_GB2312" w:hAnsi="仿宋_GB2312" w:eastAsia="仿宋_GB2312" w:cs="仿宋_GB2312"/>
          <w:b w:val="0"/>
          <w:bCs w:val="0"/>
          <w:color w:val="000000"/>
          <w:kern w:val="0"/>
          <w:sz w:val="32"/>
          <w:szCs w:val="32"/>
          <w:highlight w:val="none"/>
          <w:lang w:eastAsia="zh-CN"/>
        </w:rPr>
        <w:t>培育</w:t>
      </w:r>
      <w:r>
        <w:rPr>
          <w:rFonts w:hint="eastAsia" w:ascii="仿宋_GB2312" w:hAnsi="仿宋_GB2312" w:eastAsia="仿宋_GB2312" w:cs="仿宋_GB2312"/>
          <w:b w:val="0"/>
          <w:bCs w:val="0"/>
          <w:color w:val="000000"/>
          <w:kern w:val="0"/>
          <w:sz w:val="32"/>
          <w:szCs w:val="32"/>
          <w:highlight w:val="none"/>
        </w:rPr>
        <w:t>。</w:t>
      </w:r>
      <w:bookmarkStart w:id="14" w:name="_Toc3514"/>
      <w:bookmarkStart w:id="15" w:name="_Toc1903"/>
      <w:bookmarkStart w:id="16" w:name="_Toc13529"/>
      <w:bookmarkStart w:id="17" w:name="_Toc10906"/>
      <w:bookmarkStart w:id="18" w:name="_Toc23889"/>
      <w:bookmarkStart w:id="19" w:name="_Toc27257"/>
      <w:bookmarkStart w:id="20" w:name="_Toc16942"/>
      <w:r>
        <w:rPr>
          <w:rFonts w:hint="eastAsia" w:ascii="仿宋_GB2312" w:hAnsi="仿宋_GB2312" w:eastAsia="仿宋_GB2312" w:cs="仿宋_GB2312"/>
          <w:b w:val="0"/>
          <w:bCs w:val="0"/>
          <w:color w:val="auto"/>
          <w:sz w:val="32"/>
          <w:szCs w:val="32"/>
          <w:highlight w:val="none"/>
          <w:lang w:val="en-US" w:eastAsia="zh-CN"/>
        </w:rPr>
        <w:t>餐饮消费提振升级</w:t>
      </w:r>
      <w:bookmarkEnd w:id="14"/>
      <w:r>
        <w:rPr>
          <w:rFonts w:hint="eastAsia" w:ascii="仿宋_GB2312" w:hAnsi="仿宋_GB2312" w:eastAsia="仿宋_GB2312" w:cs="仿宋_GB2312"/>
          <w:b w:val="0"/>
          <w:bCs w:val="0"/>
          <w:color w:val="auto"/>
          <w:sz w:val="32"/>
          <w:szCs w:val="32"/>
          <w:highlight w:val="none"/>
          <w:lang w:val="en-US" w:eastAsia="zh-CN"/>
        </w:rPr>
        <w:t>行动</w:t>
      </w:r>
      <w:bookmarkEnd w:id="15"/>
      <w:bookmarkEnd w:id="16"/>
      <w:bookmarkEnd w:id="17"/>
      <w:bookmarkEnd w:id="18"/>
      <w:bookmarkEnd w:id="19"/>
      <w:bookmarkEnd w:id="20"/>
      <w:r>
        <w:rPr>
          <w:rFonts w:hint="eastAsia" w:ascii="仿宋_GB2312" w:hAnsi="仿宋_GB2312" w:eastAsia="仿宋_GB2312" w:cs="仿宋_GB2312"/>
          <w:b w:val="0"/>
          <w:bCs w:val="0"/>
          <w:color w:val="auto"/>
          <w:sz w:val="32"/>
          <w:szCs w:val="32"/>
          <w:highlight w:val="none"/>
          <w:lang w:val="en-US" w:eastAsia="zh-CN"/>
        </w:rPr>
        <w:t>，吸引米其林、黑珍珠上榜餐厅以及商务会所式餐厅、品牌西餐厅、私人定制餐厅，</w:t>
      </w:r>
      <w:r>
        <w:rPr>
          <w:rFonts w:hint="eastAsia" w:ascii="仿宋_GB2312" w:hAnsi="仿宋_GB2312" w:eastAsia="仿宋_GB2312" w:cs="仿宋_GB2312"/>
          <w:b w:val="0"/>
          <w:bCs w:val="0"/>
          <w:color w:val="auto"/>
          <w:sz w:val="32"/>
          <w:szCs w:val="32"/>
          <w:highlight w:val="none"/>
          <w:lang w:eastAsia="zh-CN"/>
        </w:rPr>
        <w:t>支持具备条件的街镇打造特色美食街区，</w:t>
      </w:r>
      <w:r>
        <w:rPr>
          <w:rFonts w:hint="eastAsia" w:ascii="仿宋_GB2312" w:hAnsi="仿宋_GB2312" w:eastAsia="仿宋_GB2312" w:cs="仿宋_GB2312"/>
          <w:b w:val="0"/>
          <w:bCs w:val="0"/>
          <w:i w:val="0"/>
          <w:iCs w:val="0"/>
          <w:caps w:val="0"/>
          <w:color w:val="000000"/>
          <w:spacing w:val="0"/>
          <w:sz w:val="32"/>
          <w:szCs w:val="32"/>
          <w:highlight w:val="none"/>
          <w:shd w:val="clear"/>
        </w:rPr>
        <w:t>培育</w:t>
      </w:r>
      <w:r>
        <w:rPr>
          <w:rFonts w:hint="eastAsia" w:ascii="仿宋_GB2312" w:hAnsi="仿宋_GB2312" w:eastAsia="仿宋_GB2312" w:cs="仿宋_GB2312"/>
          <w:b w:val="0"/>
          <w:bCs w:val="0"/>
          <w:i w:val="0"/>
          <w:iCs w:val="0"/>
          <w:caps w:val="0"/>
          <w:color w:val="000000"/>
          <w:spacing w:val="0"/>
          <w:sz w:val="32"/>
          <w:szCs w:val="32"/>
          <w:highlight w:val="none"/>
          <w:shd w:val="clear"/>
          <w:lang w:eastAsia="zh-CN"/>
        </w:rPr>
        <w:t>大兴</w:t>
      </w:r>
      <w:r>
        <w:rPr>
          <w:rFonts w:hint="eastAsia" w:ascii="仿宋_GB2312" w:hAnsi="仿宋_GB2312" w:eastAsia="仿宋_GB2312" w:cs="仿宋_GB2312"/>
          <w:b w:val="0"/>
          <w:bCs w:val="0"/>
          <w:i w:val="0"/>
          <w:iCs w:val="0"/>
          <w:caps w:val="0"/>
          <w:color w:val="000000"/>
          <w:spacing w:val="0"/>
          <w:sz w:val="32"/>
          <w:szCs w:val="32"/>
          <w:highlight w:val="none"/>
          <w:shd w:val="clear"/>
        </w:rPr>
        <w:t>名菜、名小吃、名厨、名店</w:t>
      </w:r>
      <w:r>
        <w:rPr>
          <w:rFonts w:hint="eastAsia" w:ascii="仿宋_GB2312" w:hAnsi="仿宋_GB2312" w:eastAsia="仿宋_GB2312" w:cs="仿宋_GB2312"/>
          <w:b w:val="0"/>
          <w:bCs w:val="0"/>
          <w:i w:val="0"/>
          <w:iCs w:val="0"/>
          <w:caps w:val="0"/>
          <w:color w:val="000000"/>
          <w:spacing w:val="0"/>
          <w:sz w:val="32"/>
          <w:szCs w:val="32"/>
          <w:highlight w:val="none"/>
          <w:shd w:val="clear"/>
          <w:lang w:eastAsia="zh-CN"/>
        </w:rPr>
        <w:t>。</w:t>
      </w:r>
      <w:r>
        <w:rPr>
          <w:rFonts w:hint="eastAsia" w:ascii="仿宋_GB2312" w:hAnsi="仿宋_GB2312" w:eastAsia="仿宋_GB2312" w:cs="仿宋_GB2312"/>
          <w:b w:val="0"/>
          <w:bCs w:val="0"/>
          <w:color w:val="auto"/>
          <w:sz w:val="32"/>
          <w:szCs w:val="32"/>
          <w:highlight w:val="none"/>
          <w:lang w:val="en-US" w:eastAsia="zh-CN"/>
        </w:rPr>
        <w:t>入境消费功能提升行动，引导区内更多符合条件的优质商户成为离境退税商店，打造西红门入境消费友好型商圈</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w:t>
      </w:r>
      <w:bookmarkStart w:id="21" w:name="_Toc27782"/>
      <w:r>
        <w:rPr>
          <w:rFonts w:hint="eastAsia" w:ascii="仿宋_GB2312" w:hAnsi="仿宋_GB2312" w:eastAsia="仿宋_GB2312" w:cs="仿宋_GB2312"/>
          <w:b w:val="0"/>
          <w:bCs w:val="0"/>
          <w:color w:val="auto"/>
          <w:sz w:val="32"/>
          <w:szCs w:val="32"/>
          <w:highlight w:val="none"/>
          <w:lang w:val="en-US" w:eastAsia="zh-CN"/>
        </w:rPr>
        <w:t>大宗消费更新升级行动</w:t>
      </w:r>
      <w:bookmarkEnd w:id="21"/>
      <w:r>
        <w:rPr>
          <w:rFonts w:hint="eastAsia" w:ascii="仿宋_GB2312" w:hAnsi="仿宋_GB2312" w:eastAsia="仿宋_GB2312" w:cs="仿宋_GB2312"/>
          <w:b w:val="0"/>
          <w:bCs w:val="0"/>
          <w:color w:val="auto"/>
          <w:sz w:val="32"/>
          <w:szCs w:val="32"/>
          <w:highlight w:val="none"/>
          <w:lang w:val="en-US" w:eastAsia="zh-CN"/>
        </w:rPr>
        <w:t>，落实</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好“两新”政策，</w:t>
      </w:r>
      <w:r>
        <w:rPr>
          <w:rFonts w:hint="eastAsia" w:ascii="仿宋_GB2312" w:hAnsi="仿宋_GB2312" w:eastAsia="仿宋_GB2312" w:cs="仿宋_GB2312"/>
          <w:b w:val="0"/>
          <w:bCs w:val="0"/>
          <w:sz w:val="32"/>
          <w:szCs w:val="32"/>
          <w:highlight w:val="none"/>
          <w:lang w:val="en-US" w:eastAsia="zh-CN"/>
        </w:rPr>
        <w:t>联动商家和平台举办消费品以旧换新活动</w:t>
      </w:r>
      <w:r>
        <w:rPr>
          <w:rFonts w:hint="eastAsia" w:ascii="仿宋_GB2312" w:hAnsi="仿宋_GB2312" w:eastAsia="仿宋_GB2312" w:cs="仿宋_GB2312"/>
          <w:b w:val="0"/>
          <w:bCs w:val="0"/>
          <w:color w:val="auto"/>
          <w:sz w:val="32"/>
          <w:szCs w:val="32"/>
          <w:highlight w:val="none"/>
          <w:lang w:val="en-US" w:eastAsia="zh-CN"/>
        </w:rPr>
        <w:t>，拓展汽车后市场消费。</w:t>
      </w:r>
    </w:p>
    <w:p w14:paraId="4A859CC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i w:val="0"/>
          <w:iCs w:val="0"/>
          <w:caps w:val="0"/>
          <w:color w:val="auto"/>
          <w:spacing w:val="0"/>
          <w:sz w:val="32"/>
          <w:szCs w:val="32"/>
          <w:highlight w:val="none"/>
          <w:shd w:val="clear"/>
          <w:lang w:val="en-US" w:eastAsia="zh-CN"/>
        </w:rPr>
      </w:pPr>
      <w:bookmarkStart w:id="22" w:name="_Toc18352"/>
      <w:bookmarkStart w:id="23" w:name="_Toc6922"/>
      <w:bookmarkStart w:id="24" w:name="_Toc23328"/>
      <w:bookmarkStart w:id="25" w:name="_Toc909"/>
      <w:bookmarkStart w:id="26" w:name="_Toc8818"/>
      <w:bookmarkStart w:id="27" w:name="_Toc25019"/>
      <w:r>
        <w:rPr>
          <w:rFonts w:hint="eastAsia" w:ascii="仿宋_GB2312" w:hAnsi="仿宋_GB2312" w:eastAsia="仿宋_GB2312" w:cs="仿宋_GB2312"/>
          <w:b/>
          <w:bCs/>
          <w:sz w:val="32"/>
          <w:szCs w:val="32"/>
          <w:highlight w:val="none"/>
          <w:lang w:val="en-US" w:eastAsia="zh-CN"/>
        </w:rPr>
        <w:t>3.拓展丰富消费新模式新场景</w:t>
      </w:r>
      <w:bookmarkEnd w:id="22"/>
      <w:bookmarkEnd w:id="23"/>
      <w:bookmarkEnd w:id="24"/>
      <w:bookmarkEnd w:id="25"/>
      <w:bookmarkEnd w:id="26"/>
      <w:bookmarkEnd w:id="27"/>
      <w:r>
        <w:rPr>
          <w:rFonts w:hint="eastAsia" w:ascii="仿宋_GB2312" w:hAnsi="仿宋_GB2312" w:eastAsia="仿宋_GB2312" w:cs="仿宋_GB2312"/>
          <w:b/>
          <w:bCs/>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深化</w:t>
      </w:r>
      <w:r>
        <w:rPr>
          <w:rFonts w:hint="eastAsia" w:ascii="仿宋_GB2312" w:hAnsi="仿宋_GB2312" w:eastAsia="仿宋_GB2312" w:cs="仿宋_GB2312"/>
          <w:b w:val="0"/>
          <w:bCs w:val="0"/>
          <w:color w:val="auto"/>
          <w:sz w:val="32"/>
          <w:szCs w:val="32"/>
          <w:highlight w:val="none"/>
          <w:lang w:val="en-US" w:eastAsia="zh-CN"/>
        </w:rPr>
        <w:t>“商业+”消费融合，支持品牌餐饮企业、连锁零售企业进景区、体育馆、博物馆、公园、展览馆等</w:t>
      </w:r>
      <w:bookmarkStart w:id="28" w:name="_Toc13393"/>
      <w:bookmarkStart w:id="29" w:name="_Toc21754"/>
      <w:bookmarkStart w:id="30" w:name="_Toc19997"/>
      <w:bookmarkStart w:id="31" w:name="_Toc26360"/>
      <w:bookmarkStart w:id="32" w:name="_Toc13337"/>
      <w:bookmarkStart w:id="33" w:name="_Toc24639"/>
      <w:bookmarkStart w:id="34" w:name="_Toc29568"/>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培育医药健康消费特色</w:t>
      </w:r>
      <w:bookmarkEnd w:id="28"/>
      <w:bookmarkEnd w:id="29"/>
      <w:bookmarkEnd w:id="30"/>
      <w:bookmarkEnd w:id="31"/>
      <w:bookmarkEnd w:id="32"/>
      <w:bookmarkEnd w:id="33"/>
      <w:bookmarkEnd w:id="34"/>
      <w:r>
        <w:rPr>
          <w:rFonts w:hint="eastAsia" w:ascii="仿宋_GB2312" w:hAnsi="仿宋_GB2312" w:eastAsia="仿宋_GB2312" w:cs="仿宋_GB2312"/>
          <w:b w:val="0"/>
          <w:bCs w:val="0"/>
          <w:sz w:val="32"/>
          <w:szCs w:val="32"/>
          <w:highlight w:val="none"/>
          <w:lang w:val="en-US" w:eastAsia="zh-CN"/>
        </w:rPr>
        <w:t>，发挥医药健康产业发展优势，支持数字医疗、干细胞治疗、免疫治疗、康养保健等领域新技术新产品研发，推动</w:t>
      </w:r>
      <w:r>
        <w:rPr>
          <w:rFonts w:hint="eastAsia" w:ascii="仿宋_GB2312" w:hAnsi="仿宋_GB2312" w:eastAsia="仿宋_GB2312" w:cs="仿宋_GB2312"/>
          <w:b w:val="0"/>
          <w:bCs w:val="0"/>
          <w:sz w:val="32"/>
          <w:szCs w:val="32"/>
          <w:highlight w:val="none"/>
          <w:lang w:eastAsia="zh-CN"/>
        </w:rPr>
        <w:t>临空区</w:t>
      </w:r>
      <w:r>
        <w:rPr>
          <w:rFonts w:hint="eastAsia" w:ascii="仿宋_GB2312" w:hAnsi="仿宋_GB2312" w:eastAsia="仿宋_GB2312" w:cs="仿宋_GB2312"/>
          <w:b w:val="0"/>
          <w:bCs w:val="0"/>
          <w:sz w:val="32"/>
          <w:szCs w:val="32"/>
          <w:highlight w:val="none"/>
          <w:lang w:val="en-US" w:eastAsia="zh-CN"/>
        </w:rPr>
        <w:t>三甲医院、国际医院、研究型医院等项目布局，支持</w:t>
      </w:r>
      <w:r>
        <w:rPr>
          <w:rFonts w:hint="eastAsia" w:ascii="仿宋_GB2312" w:hAnsi="仿宋_GB2312" w:eastAsia="仿宋_GB2312" w:cs="仿宋_GB2312"/>
          <w:b w:val="0"/>
          <w:bCs w:val="0"/>
          <w:sz w:val="32"/>
          <w:szCs w:val="32"/>
          <w:highlight w:val="none"/>
          <w:lang w:eastAsia="zh-CN"/>
        </w:rPr>
        <w:t>引进精准医疗、再生医学、转化医学、康复医学与健康管理等前沿消费项目</w:t>
      </w:r>
      <w:r>
        <w:rPr>
          <w:rFonts w:hint="eastAsia" w:ascii="仿宋_GB2312" w:hAnsi="仿宋_GB2312" w:eastAsia="仿宋_GB2312" w:cs="仿宋_GB2312"/>
          <w:b w:val="0"/>
          <w:bCs w:val="0"/>
          <w:i w:val="0"/>
          <w:iCs w:val="0"/>
          <w:caps w:val="0"/>
          <w:color w:val="000000"/>
          <w:spacing w:val="0"/>
          <w:sz w:val="32"/>
          <w:szCs w:val="32"/>
          <w:highlight w:val="none"/>
          <w:shd w:val="clear" w:fill="auto"/>
          <w:lang w:eastAsia="zh-CN"/>
        </w:rPr>
        <w:t>。</w:t>
      </w:r>
      <w:bookmarkStart w:id="35" w:name="_Toc9826"/>
      <w:bookmarkStart w:id="36" w:name="_Toc10546"/>
      <w:bookmarkStart w:id="37" w:name="_Toc1210"/>
      <w:bookmarkStart w:id="38" w:name="_Toc17194"/>
      <w:bookmarkStart w:id="39" w:name="_Toc20572"/>
      <w:bookmarkStart w:id="40" w:name="_Toc6433"/>
      <w:bookmarkStart w:id="41" w:name="_Toc1830"/>
      <w:r>
        <w:rPr>
          <w:rFonts w:hint="eastAsia" w:ascii="仿宋_GB2312" w:hAnsi="仿宋_GB2312" w:eastAsia="仿宋_GB2312" w:cs="仿宋_GB2312"/>
          <w:b w:val="0"/>
          <w:bCs w:val="0"/>
          <w:sz w:val="32"/>
          <w:szCs w:val="32"/>
          <w:highlight w:val="none"/>
          <w:lang w:val="en-US" w:eastAsia="zh-CN"/>
        </w:rPr>
        <w:t>发展数智绿色消费</w:t>
      </w:r>
      <w:bookmarkEnd w:id="35"/>
      <w:bookmarkEnd w:id="36"/>
      <w:bookmarkEnd w:id="37"/>
      <w:bookmarkEnd w:id="38"/>
      <w:bookmarkEnd w:id="39"/>
      <w:bookmarkEnd w:id="40"/>
      <w:bookmarkEnd w:id="41"/>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color w:val="000000"/>
          <w:sz w:val="32"/>
          <w:szCs w:val="32"/>
          <w:highlight w:val="none"/>
          <w:lang w:val="en-US" w:eastAsia="zh-CN"/>
        </w:rPr>
        <w:t>培育打造一批智慧商圈、</w:t>
      </w:r>
      <w:r>
        <w:rPr>
          <w:rFonts w:hint="eastAsia" w:ascii="仿宋_GB2312" w:hAnsi="仿宋_GB2312" w:eastAsia="仿宋_GB2312" w:cs="仿宋_GB2312"/>
          <w:b w:val="0"/>
          <w:bCs w:val="0"/>
          <w:color w:val="000000"/>
          <w:sz w:val="32"/>
          <w:szCs w:val="21"/>
          <w:highlight w:val="none"/>
          <w:lang w:val="en-US" w:eastAsia="zh-CN"/>
        </w:rPr>
        <w:t>智慧门店、</w:t>
      </w:r>
      <w:r>
        <w:rPr>
          <w:rFonts w:hint="eastAsia" w:ascii="仿宋_GB2312" w:hAnsi="仿宋_GB2312" w:eastAsia="仿宋_GB2312" w:cs="仿宋_GB2312"/>
          <w:b w:val="0"/>
          <w:bCs w:val="0"/>
          <w:i w:val="0"/>
          <w:iCs w:val="0"/>
          <w:caps w:val="0"/>
          <w:color w:val="000000"/>
          <w:spacing w:val="0"/>
          <w:sz w:val="32"/>
          <w:szCs w:val="21"/>
          <w:highlight w:val="none"/>
          <w:shd w:val="clear" w:fill="auto"/>
        </w:rPr>
        <w:t>数字消费体验中心</w:t>
      </w:r>
      <w:r>
        <w:rPr>
          <w:rFonts w:hint="eastAsia" w:ascii="仿宋_GB2312" w:hAnsi="仿宋_GB2312" w:eastAsia="仿宋_GB2312" w:cs="仿宋_GB2312"/>
          <w:b w:val="0"/>
          <w:bCs w:val="0"/>
          <w:i w:val="0"/>
          <w:iCs w:val="0"/>
          <w:caps w:val="0"/>
          <w:color w:val="000000"/>
          <w:spacing w:val="0"/>
          <w:sz w:val="32"/>
          <w:szCs w:val="21"/>
          <w:highlight w:val="none"/>
          <w:shd w:val="clear"/>
          <w:lang w:eastAsia="zh-CN"/>
        </w:rPr>
        <w:t>。</w:t>
      </w:r>
      <w:bookmarkStart w:id="42" w:name="_Toc22524"/>
      <w:bookmarkStart w:id="43" w:name="_Toc21655"/>
      <w:bookmarkStart w:id="44" w:name="_Toc15603"/>
      <w:bookmarkStart w:id="45" w:name="_Toc15605"/>
      <w:bookmarkStart w:id="46" w:name="_Toc6020"/>
      <w:bookmarkStart w:id="47" w:name="_Toc6427"/>
      <w:bookmarkStart w:id="48" w:name="_Toc30933"/>
      <w:bookmarkStart w:id="49" w:name="_Toc26523"/>
      <w:bookmarkStart w:id="50" w:name="_Toc14309"/>
      <w:r>
        <w:rPr>
          <w:rFonts w:hint="eastAsia" w:ascii="仿宋_GB2312" w:hAnsi="仿宋_GB2312" w:eastAsia="仿宋_GB2312" w:cs="仿宋_GB2312"/>
          <w:b w:val="0"/>
          <w:bCs w:val="0"/>
          <w:sz w:val="32"/>
          <w:szCs w:val="32"/>
          <w:highlight w:val="none"/>
          <w:lang w:val="en-US" w:eastAsia="zh-CN"/>
        </w:rPr>
        <w:t>提升文旅体育消费活力</w:t>
      </w:r>
      <w:bookmarkEnd w:id="42"/>
      <w:bookmarkEnd w:id="43"/>
      <w:bookmarkEnd w:id="44"/>
      <w:bookmarkEnd w:id="45"/>
      <w:bookmarkEnd w:id="46"/>
      <w:bookmarkEnd w:id="47"/>
      <w:bookmarkEnd w:id="48"/>
      <w:bookmarkEnd w:id="49"/>
      <w:bookmarkEnd w:id="50"/>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eastAsia="zh-CN"/>
        </w:rPr>
        <w:t>围绕“漫步北京”“骑游北京”“漫游京郊”等旅游线路品牌，打造大兴徒步、骑行精品线路，加快</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大兴国际旅游度假区建设，</w:t>
      </w:r>
      <w:r>
        <w:rPr>
          <w:rFonts w:hint="eastAsia" w:ascii="仿宋_GB2312" w:hAnsi="仿宋_GB2312" w:eastAsia="仿宋_GB2312" w:cs="仿宋_GB2312"/>
          <w:b w:val="0"/>
          <w:bCs w:val="0"/>
          <w:color w:val="auto"/>
          <w:sz w:val="32"/>
          <w:szCs w:val="32"/>
          <w:highlight w:val="none"/>
          <w:lang w:eastAsia="zh-CN"/>
        </w:rPr>
        <w:t>办好“花马”、骑行大赛等品牌赛事，</w:t>
      </w:r>
      <w:r>
        <w:rPr>
          <w:rFonts w:hint="eastAsia" w:ascii="仿宋_GB2312" w:hAnsi="仿宋_GB2312" w:eastAsia="仿宋_GB2312" w:cs="仿宋_GB2312"/>
          <w:b w:val="0"/>
          <w:bCs w:val="0"/>
          <w:i w:val="0"/>
          <w:iCs w:val="0"/>
          <w:caps w:val="0"/>
          <w:color w:val="auto"/>
          <w:spacing w:val="0"/>
          <w:sz w:val="32"/>
          <w:szCs w:val="32"/>
          <w:highlight w:val="none"/>
          <w:shd w:val="clear" w:fill="auto"/>
          <w:lang w:eastAsia="zh-CN"/>
        </w:rPr>
        <w:t>吸引更多高水平赛事活动落地大兴。</w:t>
      </w:r>
    </w:p>
    <w:p w14:paraId="4D84D46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b w:val="0"/>
          <w:bCs w:val="0"/>
          <w:i w:val="0"/>
          <w:iCs w:val="0"/>
          <w:caps w:val="0"/>
          <w:color w:val="auto"/>
          <w:spacing w:val="0"/>
          <w:sz w:val="32"/>
          <w:szCs w:val="32"/>
          <w:highlight w:val="none"/>
          <w:shd w:val="clear"/>
          <w:lang w:eastAsia="zh-CN"/>
        </w:rPr>
      </w:pPr>
      <w:r>
        <w:rPr>
          <w:rFonts w:hint="eastAsia" w:ascii="仿宋_GB2312" w:hAnsi="仿宋_GB2312" w:eastAsia="仿宋_GB2312" w:cs="仿宋_GB2312"/>
          <w:b/>
          <w:bCs/>
          <w:sz w:val="32"/>
          <w:szCs w:val="32"/>
          <w:highlight w:val="none"/>
          <w:lang w:val="en-US" w:eastAsia="zh-CN"/>
        </w:rPr>
        <w:t>4.深层次融入双循环互促格局</w:t>
      </w:r>
      <w:bookmarkStart w:id="51" w:name="_Toc23540"/>
      <w:bookmarkStart w:id="52" w:name="_Toc25027"/>
      <w:bookmarkStart w:id="53" w:name="_Toc32156"/>
      <w:bookmarkStart w:id="54" w:name="_Toc29585"/>
      <w:bookmarkStart w:id="55" w:name="_Toc23524"/>
      <w:bookmarkStart w:id="56" w:name="_Toc32273"/>
      <w:bookmarkStart w:id="57" w:name="_Toc13774"/>
      <w:r>
        <w:rPr>
          <w:rFonts w:hint="eastAsia" w:ascii="仿宋_GB2312" w:hAnsi="仿宋_GB2312" w:eastAsia="仿宋_GB2312" w:cs="仿宋_GB2312"/>
          <w:b/>
          <w:bCs/>
          <w:sz w:val="32"/>
          <w:szCs w:val="32"/>
          <w:highlight w:val="none"/>
          <w:lang w:val="en-US" w:eastAsia="zh-CN"/>
        </w:rPr>
        <w:t>。</w:t>
      </w:r>
      <w:bookmarkEnd w:id="51"/>
      <w:bookmarkEnd w:id="52"/>
      <w:bookmarkEnd w:id="53"/>
      <w:bookmarkEnd w:id="54"/>
      <w:bookmarkEnd w:id="55"/>
      <w:bookmarkEnd w:id="56"/>
      <w:bookmarkEnd w:id="57"/>
      <w:r>
        <w:rPr>
          <w:rFonts w:hint="eastAsia" w:ascii="仿宋_GB2312" w:hAnsi="仿宋_GB2312" w:eastAsia="仿宋_GB2312" w:cs="仿宋_GB2312"/>
          <w:b w:val="0"/>
          <w:bCs w:val="0"/>
          <w:i w:val="0"/>
          <w:iCs w:val="0"/>
          <w:caps w:val="0"/>
          <w:color w:val="auto"/>
          <w:spacing w:val="0"/>
          <w:sz w:val="32"/>
          <w:szCs w:val="32"/>
          <w:highlight w:val="none"/>
          <w:shd w:val="clear"/>
          <w:lang w:eastAsia="zh"/>
        </w:rPr>
        <w:t>围绕北京空港型国家物流枢纽建设，</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
        </w:rPr>
        <w:t>加强</w:t>
      </w:r>
      <w:r>
        <w:rPr>
          <w:rFonts w:hint="eastAsia" w:ascii="仿宋_GB2312" w:hAnsi="仿宋_GB2312" w:eastAsia="仿宋_GB2312" w:cs="仿宋_GB2312"/>
          <w:b w:val="0"/>
          <w:bCs w:val="0"/>
          <w:i w:val="0"/>
          <w:iCs w:val="0"/>
          <w:caps w:val="0"/>
          <w:color w:val="auto"/>
          <w:spacing w:val="0"/>
          <w:sz w:val="32"/>
          <w:szCs w:val="32"/>
          <w:highlight w:val="none"/>
          <w:shd w:val="clear"/>
          <w:lang w:eastAsia="zh"/>
        </w:rPr>
        <w:t>大兴机场</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
        </w:rPr>
        <w:t>国际客货运航空资源配置</w:t>
      </w:r>
      <w:r>
        <w:rPr>
          <w:rFonts w:hint="eastAsia" w:ascii="仿宋_GB2312" w:hAnsi="仿宋_GB2312" w:eastAsia="仿宋_GB2312" w:cs="仿宋_GB2312"/>
          <w:b w:val="0"/>
          <w:bCs w:val="0"/>
          <w:i w:val="0"/>
          <w:iCs w:val="0"/>
          <w:caps w:val="0"/>
          <w:color w:val="auto"/>
          <w:spacing w:val="0"/>
          <w:sz w:val="32"/>
          <w:szCs w:val="32"/>
          <w:highlight w:val="none"/>
          <w:shd w:val="clear"/>
          <w:lang w:eastAsia="zh"/>
        </w:rPr>
        <w:t>，鼓励开通国际航班快线，丰富中转联运产品，打造</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eastAsia="zh"/>
        </w:rPr>
        <w:t>空中丝绸之路</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eastAsia="zh"/>
        </w:rPr>
        <w:t>核心枢纽</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。吸引跨境电商平台、供应链龙头企业入驻，促进“新型离岸贸易+跨境电商”深度融合发展。推动贸易规模稳步提升，支持企业多渠道出海，推进</w:t>
      </w:r>
      <w:r>
        <w:rPr>
          <w:rFonts w:hint="eastAsia" w:ascii="仿宋_GB2312" w:hAnsi="仿宋_GB2312" w:eastAsia="仿宋_GB2312" w:cs="仿宋_GB2312"/>
          <w:b w:val="0"/>
          <w:bCs w:val="0"/>
          <w:i w:val="0"/>
          <w:iCs w:val="0"/>
          <w:caps w:val="0"/>
          <w:color w:val="auto"/>
          <w:spacing w:val="0"/>
          <w:sz w:val="32"/>
          <w:szCs w:val="32"/>
          <w:highlight w:val="none"/>
          <w:shd w:val="clear"/>
          <w:lang w:eastAsia="zh"/>
        </w:rPr>
        <w:t>国际咖啡产业园</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建设，</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做大“保税+”业务规模，培育外贸发展新动能。</w:t>
      </w:r>
      <w:bookmarkStart w:id="58" w:name="_Toc16136"/>
      <w:bookmarkStart w:id="59" w:name="_Toc19826"/>
      <w:bookmarkStart w:id="60" w:name="_Toc31790"/>
      <w:bookmarkStart w:id="61" w:name="_Toc30888"/>
      <w:bookmarkStart w:id="62" w:name="_Toc22669"/>
      <w:bookmarkStart w:id="63" w:name="_Toc17426"/>
      <w:bookmarkStart w:id="64" w:name="_Toc30392"/>
      <w:bookmarkStart w:id="65" w:name="_Toc21451"/>
      <w:bookmarkStart w:id="66" w:name="_Toc10110"/>
      <w:bookmarkStart w:id="67" w:name="_Toc9785"/>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深化文化、旅游、医疗、教育等重点服务业领域扩大开放，吸引国际品牌与项目落地。</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加强高能级商贸主体引育</w:t>
      </w:r>
      <w:bookmarkEnd w:id="58"/>
      <w:bookmarkEnd w:id="59"/>
      <w:bookmarkEnd w:id="60"/>
      <w:bookmarkEnd w:id="61"/>
      <w:bookmarkEnd w:id="62"/>
      <w:bookmarkEnd w:id="63"/>
      <w:bookmarkEnd w:id="64"/>
      <w:bookmarkEnd w:id="65"/>
      <w:bookmarkEnd w:id="66"/>
      <w:bookmarkEnd w:id="67"/>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重点引进大宗商品、医药器械、新能源汽车领域龙头贸易企业、品牌总经销（总代理）、知名商业运营主体、电商平台与连锁品牌，大力招引总部型商贸企业。</w:t>
      </w:r>
    </w:p>
    <w:p w14:paraId="421596C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eastAsia="仿宋_GB2312" w:cs="仿宋_GB2312"/>
          <w:i w:val="0"/>
          <w:iCs w:val="0"/>
          <w:caps w:val="0"/>
          <w:color w:val="auto"/>
          <w:spacing w:val="0"/>
          <w:sz w:val="32"/>
          <w:szCs w:val="32"/>
          <w:highlight w:val="none"/>
          <w:shd w:val="clear"/>
          <w:lang w:eastAsia="zh-CN" w:bidi="ar"/>
        </w:rPr>
      </w:pPr>
      <w:bookmarkStart w:id="68" w:name="_Toc25758"/>
      <w:bookmarkStart w:id="69" w:name="_Toc8397"/>
      <w:bookmarkStart w:id="70" w:name="_Toc29099"/>
      <w:bookmarkStart w:id="71" w:name="_Toc30495"/>
      <w:bookmarkStart w:id="72" w:name="_Toc7527"/>
      <w:bookmarkStart w:id="73" w:name="_Toc29573"/>
      <w:bookmarkStart w:id="74" w:name="_Toc1808"/>
      <w:r>
        <w:rPr>
          <w:rFonts w:hint="eastAsia" w:ascii="仿宋_GB2312" w:hAnsi="仿宋_GB2312" w:eastAsia="仿宋_GB2312" w:cs="仿宋_GB2312"/>
          <w:b/>
          <w:bCs/>
          <w:sz w:val="32"/>
          <w:szCs w:val="32"/>
          <w:highlight w:val="none"/>
          <w:lang w:val="en-US" w:eastAsia="zh-CN"/>
        </w:rPr>
        <w:t>5.营造国际一流消费体验环境</w:t>
      </w:r>
      <w:bookmarkEnd w:id="68"/>
      <w:bookmarkEnd w:id="69"/>
      <w:bookmarkEnd w:id="70"/>
      <w:bookmarkEnd w:id="71"/>
      <w:bookmarkEnd w:id="72"/>
      <w:bookmarkEnd w:id="73"/>
      <w:bookmarkEnd w:id="74"/>
      <w:bookmarkStart w:id="75" w:name="_Toc21344"/>
      <w:bookmarkStart w:id="76" w:name="_Toc1852"/>
      <w:bookmarkStart w:id="77" w:name="_Toc28134"/>
      <w:bookmarkStart w:id="78" w:name="_Toc25061"/>
      <w:bookmarkStart w:id="79" w:name="_Toc6935"/>
      <w:bookmarkStart w:id="80" w:name="_Toc3127"/>
      <w:bookmarkStart w:id="81" w:name="_Toc1524"/>
      <w:r>
        <w:rPr>
          <w:rFonts w:hint="eastAsia" w:ascii="仿宋_GB2312" w:hAnsi="仿宋_GB2312" w:eastAsia="仿宋_GB2312" w:cs="仿宋_GB2312"/>
          <w:b/>
          <w:bCs/>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活跃地区消费氛围</w:t>
      </w:r>
      <w:bookmarkEnd w:id="75"/>
      <w:bookmarkEnd w:id="76"/>
      <w:bookmarkEnd w:id="77"/>
      <w:bookmarkEnd w:id="78"/>
      <w:bookmarkEnd w:id="79"/>
      <w:bookmarkEnd w:id="80"/>
      <w:bookmarkEnd w:id="81"/>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围绕“礼享大兴”主题，强化政企联动、消费券撬动，联合策划举办丰富多元的大兴消费季主题促消费活动。</w:t>
      </w:r>
      <w:bookmarkStart w:id="82" w:name="_Toc5640"/>
      <w:bookmarkStart w:id="83" w:name="_Toc22459"/>
      <w:bookmarkStart w:id="84" w:name="_Toc19694"/>
      <w:bookmarkStart w:id="85" w:name="_Toc17628"/>
      <w:bookmarkStart w:id="86" w:name="_Toc16707"/>
      <w:bookmarkStart w:id="87" w:name="_Toc6092"/>
      <w:bookmarkStart w:id="88" w:name="_Toc25003"/>
      <w:r>
        <w:rPr>
          <w:rFonts w:hint="eastAsia" w:ascii="仿宋_GB2312" w:hAnsi="仿宋_GB2312" w:eastAsia="仿宋_GB2312" w:cs="仿宋_GB2312"/>
          <w:b w:val="0"/>
          <w:bCs w:val="0"/>
          <w:sz w:val="32"/>
          <w:szCs w:val="32"/>
          <w:highlight w:val="none"/>
          <w:lang w:val="en-US" w:eastAsia="zh-CN"/>
        </w:rPr>
        <w:t>优化消费体验环境</w:t>
      </w:r>
      <w:bookmarkEnd w:id="82"/>
      <w:bookmarkEnd w:id="83"/>
      <w:bookmarkEnd w:id="84"/>
      <w:bookmarkEnd w:id="85"/>
      <w:bookmarkEnd w:id="86"/>
      <w:bookmarkEnd w:id="87"/>
      <w:bookmarkEnd w:id="88"/>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完善多语种标识及导览</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设施</w:t>
      </w:r>
      <w:r>
        <w:rPr>
          <w:rFonts w:hint="eastAsia" w:ascii="仿宋_GB2312" w:hAnsi="仿宋_GB2312" w:eastAsia="仿宋_GB2312" w:cs="仿宋_GB2312"/>
          <w:b w:val="0"/>
          <w:bCs w:val="0"/>
          <w:i w:val="0"/>
          <w:iCs w:val="0"/>
          <w:caps w:val="0"/>
          <w:color w:val="auto"/>
          <w:spacing w:val="0"/>
          <w:sz w:val="32"/>
          <w:szCs w:val="32"/>
          <w:highlight w:val="none"/>
          <w:shd w:val="clear" w:fill="auto"/>
          <w:lang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eastAsia="zh-CN"/>
        </w:rPr>
        <w:t>用好“北京服务”机</w:t>
      </w:r>
      <w:r>
        <w:rPr>
          <w:rFonts w:hint="eastAsia" w:ascii="仿宋_GB2312" w:hAnsi="仿宋_GB2312" w:eastAsia="仿宋_GB2312" w:cs="仿宋_GB2312"/>
          <w:i w:val="0"/>
          <w:iCs w:val="0"/>
          <w:caps w:val="0"/>
          <w:color w:val="auto"/>
          <w:spacing w:val="0"/>
          <w:sz w:val="32"/>
          <w:szCs w:val="32"/>
          <w:highlight w:val="none"/>
          <w:shd w:val="clear"/>
          <w:lang w:eastAsia="zh-CN"/>
        </w:rPr>
        <w:t>场服务点，</w:t>
      </w:r>
      <w:r>
        <w:rPr>
          <w:rFonts w:hint="eastAsia" w:ascii="仿宋_GB2312" w:hAnsi="仿宋_GB2312" w:eastAsia="仿宋_GB2312" w:cs="仿宋_GB2312"/>
          <w:b w:val="0"/>
          <w:bCs w:val="0"/>
          <w:color w:val="auto"/>
          <w:sz w:val="32"/>
          <w:szCs w:val="32"/>
          <w:highlight w:val="none"/>
          <w:lang w:val="en-US" w:eastAsia="zh-CN"/>
        </w:rPr>
        <w:t>提升多语种接待服务水平。</w:t>
      </w:r>
      <w:bookmarkStart w:id="89" w:name="_Toc29280"/>
      <w:bookmarkStart w:id="90" w:name="_Toc24172"/>
      <w:bookmarkStart w:id="91" w:name="_Toc5276"/>
      <w:bookmarkStart w:id="92" w:name="_Toc1492"/>
      <w:bookmarkStart w:id="93" w:name="_Toc20822"/>
      <w:r>
        <w:rPr>
          <w:rFonts w:hint="eastAsia" w:ascii="仿宋_GB2312" w:hAnsi="仿宋_GB2312" w:eastAsia="仿宋_GB2312" w:cs="仿宋_GB2312"/>
          <w:b w:val="0"/>
          <w:bCs w:val="0"/>
          <w:sz w:val="32"/>
          <w:szCs w:val="32"/>
          <w:highlight w:val="none"/>
          <w:lang w:val="en-US" w:eastAsia="zh-CN"/>
        </w:rPr>
        <w:t>营造良好营商环境</w:t>
      </w:r>
      <w:bookmarkEnd w:id="89"/>
      <w:bookmarkEnd w:id="90"/>
      <w:bookmarkEnd w:id="91"/>
      <w:bookmarkEnd w:id="92"/>
      <w:bookmarkEnd w:id="93"/>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color w:val="auto"/>
          <w:kern w:val="0"/>
          <w:sz w:val="32"/>
          <w:szCs w:val="32"/>
          <w:highlight w:val="none"/>
          <w:lang w:val="en-US" w:eastAsia="zh-CN" w:bidi="ar"/>
        </w:rPr>
        <w:t>对商业新业态新模式发展实施</w:t>
      </w:r>
      <w:r>
        <w:rPr>
          <w:rFonts w:hint="eastAsia" w:ascii="仿宋_GB2312" w:hAnsi="仿宋_GB2312" w:eastAsia="仿宋_GB2312" w:cs="仿宋_GB2312"/>
          <w:i w:val="0"/>
          <w:iCs w:val="0"/>
          <w:caps w:val="0"/>
          <w:color w:val="auto"/>
          <w:spacing w:val="0"/>
          <w:sz w:val="32"/>
          <w:szCs w:val="32"/>
          <w:highlight w:val="none"/>
          <w:shd w:val="clear"/>
          <w:lang w:eastAsia="zh-CN" w:bidi="ar"/>
        </w:rPr>
        <w:t>包容审慎管理</w:t>
      </w:r>
      <w:r>
        <w:rPr>
          <w:rFonts w:hint="eastAsia" w:ascii="仿宋_GB2312" w:hAnsi="仿宋_GB2312" w:eastAsia="仿宋_GB2312" w:cs="仿宋_GB2312"/>
          <w:b w:val="0"/>
          <w:bCs w:val="0"/>
          <w:color w:val="auto"/>
          <w:kern w:val="0"/>
          <w:sz w:val="32"/>
          <w:szCs w:val="32"/>
          <w:highlight w:val="none"/>
          <w:lang w:val="en-US" w:eastAsia="zh-CN" w:bidi="ar"/>
        </w:rPr>
        <w:t>，</w:t>
      </w:r>
      <w:r>
        <w:rPr>
          <w:rFonts w:hint="eastAsia" w:ascii="仿宋_GB2312" w:hAnsi="仿宋_GB2312" w:eastAsia="仿宋_GB2312" w:cs="仿宋_GB2312"/>
          <w:i w:val="0"/>
          <w:iCs w:val="0"/>
          <w:caps w:val="0"/>
          <w:color w:val="auto"/>
          <w:spacing w:val="0"/>
          <w:sz w:val="32"/>
          <w:szCs w:val="32"/>
          <w:highlight w:val="none"/>
          <w:shd w:val="clear"/>
          <w:lang w:eastAsia="zh-CN" w:bidi="ar"/>
        </w:rPr>
        <w:t>探索更多消费场景“一件事、一次办”。</w:t>
      </w:r>
    </w:p>
    <w:p w14:paraId="1B050C7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outlineLvl w:val="1"/>
        <w:rPr>
          <w:rFonts w:hint="eastAsia" w:ascii="仿宋_GB2312" w:hAnsi="仿宋_GB2312" w:eastAsia="仿宋_GB2312" w:cs="仿宋_GB2312"/>
          <w:b/>
          <w:bCs/>
          <w:color w:val="000000"/>
          <w:sz w:val="32"/>
          <w:szCs w:val="32"/>
          <w:highlight w:val="none"/>
          <w:shd w:val="clear" w:fill="auto"/>
          <w:lang w:val="en-US" w:eastAsia="zh-CN"/>
        </w:rPr>
      </w:pPr>
      <w:r>
        <w:rPr>
          <w:rFonts w:hint="eastAsia" w:ascii="仿宋_GB2312" w:hAnsi="仿宋_GB2312" w:eastAsia="仿宋_GB2312" w:cs="仿宋_GB2312"/>
          <w:b/>
          <w:bCs/>
          <w:color w:val="000000"/>
          <w:sz w:val="32"/>
          <w:szCs w:val="32"/>
          <w:highlight w:val="none"/>
          <w:shd w:val="clear" w:fill="auto"/>
          <w:lang w:val="en-US" w:eastAsia="zh-CN"/>
        </w:rPr>
        <w:t>第四部分：规划实施保障</w:t>
      </w:r>
    </w:p>
    <w:p w14:paraId="3ADEC7A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从强化组织领导、加大政策支持、健全监测评估、做好宣传推介四个维度，完善工作机制，保障规划各项任务落地见效。</w:t>
      </w:r>
    </w:p>
    <w:sectPr>
      <w:footerReference r:id="rId5" w:type="default"/>
      <w:pgSz w:w="11906" w:h="16838"/>
      <w:pgMar w:top="2098" w:right="1474" w:bottom="1417" w:left="1587"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61A1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94DC7">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394DC7">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U4NzUwYmM2ZDhkZGFkMGFlYjkzM2ZjZGQ2NzQ5M2UifQ=="/>
  </w:docVars>
  <w:rsids>
    <w:rsidRoot w:val="13456187"/>
    <w:rsid w:val="00013EE6"/>
    <w:rsid w:val="000169BE"/>
    <w:rsid w:val="000B1D0D"/>
    <w:rsid w:val="001115D0"/>
    <w:rsid w:val="00254E5A"/>
    <w:rsid w:val="00263525"/>
    <w:rsid w:val="00373175"/>
    <w:rsid w:val="00486879"/>
    <w:rsid w:val="004E17DA"/>
    <w:rsid w:val="00533294"/>
    <w:rsid w:val="00535FC9"/>
    <w:rsid w:val="0054308A"/>
    <w:rsid w:val="005B7888"/>
    <w:rsid w:val="005C3CBA"/>
    <w:rsid w:val="006C07BC"/>
    <w:rsid w:val="0070189E"/>
    <w:rsid w:val="007103B9"/>
    <w:rsid w:val="00743330"/>
    <w:rsid w:val="00761DFD"/>
    <w:rsid w:val="0084069A"/>
    <w:rsid w:val="008B3C38"/>
    <w:rsid w:val="008E51DE"/>
    <w:rsid w:val="00A47B1C"/>
    <w:rsid w:val="00D50D7D"/>
    <w:rsid w:val="00D706FD"/>
    <w:rsid w:val="00D84C26"/>
    <w:rsid w:val="00DE4B99"/>
    <w:rsid w:val="00E33AD7"/>
    <w:rsid w:val="00F52475"/>
    <w:rsid w:val="00F5623E"/>
    <w:rsid w:val="00F7753E"/>
    <w:rsid w:val="00FA56B4"/>
    <w:rsid w:val="00FB38CC"/>
    <w:rsid w:val="02427B6F"/>
    <w:rsid w:val="02A47B68"/>
    <w:rsid w:val="03AD01C3"/>
    <w:rsid w:val="03B05419"/>
    <w:rsid w:val="052339BD"/>
    <w:rsid w:val="05D551CF"/>
    <w:rsid w:val="0802552B"/>
    <w:rsid w:val="08BA142B"/>
    <w:rsid w:val="0CC22A57"/>
    <w:rsid w:val="0F486E4B"/>
    <w:rsid w:val="1020392F"/>
    <w:rsid w:val="10C806EC"/>
    <w:rsid w:val="13456187"/>
    <w:rsid w:val="148C4675"/>
    <w:rsid w:val="15555082"/>
    <w:rsid w:val="165C14C5"/>
    <w:rsid w:val="195D472D"/>
    <w:rsid w:val="19FF69FF"/>
    <w:rsid w:val="1B207586"/>
    <w:rsid w:val="1DC87761"/>
    <w:rsid w:val="1E104994"/>
    <w:rsid w:val="1E602428"/>
    <w:rsid w:val="1E7E79CB"/>
    <w:rsid w:val="1EA95D87"/>
    <w:rsid w:val="1FD93633"/>
    <w:rsid w:val="235D4366"/>
    <w:rsid w:val="239747ED"/>
    <w:rsid w:val="28EB3413"/>
    <w:rsid w:val="29BC4392"/>
    <w:rsid w:val="2B5D725B"/>
    <w:rsid w:val="2DC25921"/>
    <w:rsid w:val="315A2AC2"/>
    <w:rsid w:val="323A586B"/>
    <w:rsid w:val="35AD4169"/>
    <w:rsid w:val="35C37BD4"/>
    <w:rsid w:val="39FD2E8F"/>
    <w:rsid w:val="3A6D30B9"/>
    <w:rsid w:val="3BE0449C"/>
    <w:rsid w:val="3CB834AB"/>
    <w:rsid w:val="3FBCDCBA"/>
    <w:rsid w:val="41054211"/>
    <w:rsid w:val="42DC4D10"/>
    <w:rsid w:val="43207F29"/>
    <w:rsid w:val="48346C6D"/>
    <w:rsid w:val="498E21B7"/>
    <w:rsid w:val="49A73B38"/>
    <w:rsid w:val="4CD346F0"/>
    <w:rsid w:val="50FD3AB8"/>
    <w:rsid w:val="51C863E8"/>
    <w:rsid w:val="51CD17AA"/>
    <w:rsid w:val="521A58B8"/>
    <w:rsid w:val="52FD220E"/>
    <w:rsid w:val="564F2712"/>
    <w:rsid w:val="57724D91"/>
    <w:rsid w:val="57DB648E"/>
    <w:rsid w:val="59CB1873"/>
    <w:rsid w:val="59F85463"/>
    <w:rsid w:val="60C75927"/>
    <w:rsid w:val="62C97B42"/>
    <w:rsid w:val="635759DD"/>
    <w:rsid w:val="6474780F"/>
    <w:rsid w:val="67EE52BA"/>
    <w:rsid w:val="71AD3C11"/>
    <w:rsid w:val="72281098"/>
    <w:rsid w:val="73F40C79"/>
    <w:rsid w:val="75264198"/>
    <w:rsid w:val="755A35F2"/>
    <w:rsid w:val="7623DFC1"/>
    <w:rsid w:val="76351C6F"/>
    <w:rsid w:val="76EE36CE"/>
    <w:rsid w:val="7B3F1EFB"/>
    <w:rsid w:val="7DEB7B49"/>
    <w:rsid w:val="7E2D63F8"/>
    <w:rsid w:val="EEDE2D10"/>
    <w:rsid w:val="FCF1C7BE"/>
    <w:rsid w:val="FE6EC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
    <w:pPr>
      <w:keepNext/>
      <w:keepLines/>
      <w:spacing w:line="560" w:lineRule="exact"/>
      <w:ind w:firstLine="643" w:firstLineChars="200"/>
      <w:outlineLvl w:val="2"/>
    </w:pPr>
    <w:rPr>
      <w:rFonts w:ascii="仿宋_GB2312" w:hAnsi="宋体" w:eastAsia="仿宋_GB2312" w:cs="Times New Roman"/>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rPr>
      <w:rFonts w:ascii="Calibri" w:hAnsi="Calibri" w:eastAsia="宋体" w:cs="Times New Roman"/>
    </w:rPr>
  </w:style>
  <w:style w:type="paragraph" w:styleId="4">
    <w:name w:val="Body Text"/>
    <w:basedOn w:val="1"/>
    <w:qFormat/>
    <w:uiPriority w:val="0"/>
    <w:pPr>
      <w:spacing w:line="300" w:lineRule="atLeast"/>
      <w:jc w:val="center"/>
    </w:pPr>
    <w:rPr>
      <w:rFonts w:ascii="Times New Roman" w:hAnsi="Times New Roman" w:eastAsia="宋体" w:cs="Times New Roman"/>
      <w:color w:val="000000"/>
      <w:sz w:val="44"/>
    </w:rPr>
  </w:style>
  <w:style w:type="paragraph" w:styleId="5">
    <w:name w:val="Body Text Indent"/>
    <w:basedOn w:val="1"/>
    <w:unhideWhenUsed/>
    <w:qFormat/>
    <w:uiPriority w:val="99"/>
    <w:pPr>
      <w:spacing w:after="120"/>
      <w:ind w:left="420" w:leftChars="200"/>
    </w:pPr>
  </w:style>
  <w:style w:type="paragraph" w:styleId="6">
    <w:name w:val="toc 3"/>
    <w:basedOn w:val="1"/>
    <w:next w:val="1"/>
    <w:unhideWhenUsed/>
    <w:qFormat/>
    <w:uiPriority w:val="39"/>
    <w:pPr>
      <w:snapToGrid w:val="0"/>
      <w:spacing w:line="560" w:lineRule="exact"/>
      <w:ind w:firstLine="640" w:firstLineChars="200"/>
    </w:pPr>
    <w:rPr>
      <w:rFonts w:ascii="黑体" w:hAnsi="黑体" w:eastAsia="黑体" w:cs="仿宋_GB2312"/>
      <w:sz w:val="32"/>
      <w:szCs w:val="32"/>
    </w:rPr>
  </w:style>
  <w:style w:type="paragraph" w:styleId="7">
    <w:name w:val="Plain Text"/>
    <w:basedOn w:val="1"/>
    <w:next w:val="8"/>
    <w:qFormat/>
    <w:uiPriority w:val="0"/>
    <w:rPr>
      <w:rFonts w:ascii="宋体" w:hAnsi="Courier New"/>
    </w:rPr>
  </w:style>
  <w:style w:type="paragraph" w:styleId="8">
    <w:name w:val="index 9"/>
    <w:basedOn w:val="1"/>
    <w:next w:val="1"/>
    <w:qFormat/>
    <w:uiPriority w:val="99"/>
    <w:pPr>
      <w:spacing w:before="100" w:beforeAutospacing="1" w:after="100" w:afterAutospacing="1" w:line="560" w:lineRule="exact"/>
      <w:ind w:left="3360" w:leftChars="1600" w:firstLine="880" w:firstLineChars="200"/>
      <w:jc w:val="left"/>
    </w:pPr>
    <w:rPr>
      <w:rFonts w:ascii="仿宋_GB2312" w:hAnsi="仿宋_GB2312" w:eastAsia="仿宋_GB2312"/>
      <w:sz w:val="32"/>
      <w:szCs w:val="32"/>
    </w:rPr>
  </w:style>
  <w:style w:type="paragraph" w:styleId="9">
    <w:name w:val="footer"/>
    <w:basedOn w:val="1"/>
    <w:next w:val="10"/>
    <w:qFormat/>
    <w:uiPriority w:val="0"/>
    <w:pPr>
      <w:tabs>
        <w:tab w:val="center" w:pos="4153"/>
        <w:tab w:val="right" w:pos="8306"/>
      </w:tabs>
      <w:snapToGrid w:val="0"/>
      <w:jc w:val="left"/>
    </w:pPr>
    <w:rPr>
      <w:sz w:val="18"/>
      <w:szCs w:val="18"/>
    </w:rPr>
  </w:style>
  <w:style w:type="paragraph" w:customStyle="1" w:styleId="10">
    <w:name w:val="UserStyle_0"/>
    <w:basedOn w:val="11"/>
    <w:next w:val="1"/>
    <w:qFormat/>
    <w:uiPriority w:val="0"/>
    <w:pPr>
      <w:ind w:left="1680"/>
    </w:pPr>
  </w:style>
  <w:style w:type="paragraph" w:customStyle="1" w:styleId="11">
    <w:name w:val="正文 New"/>
    <w:next w:val="12"/>
    <w:qFormat/>
    <w:uiPriority w:val="0"/>
    <w:pPr>
      <w:jc w:val="both"/>
      <w:textAlignment w:val="baseline"/>
    </w:pPr>
    <w:rPr>
      <w:rFonts w:ascii="Times New Roman" w:hAnsi="Times New Roman" w:eastAsia="宋体" w:cs="黑体"/>
      <w:kern w:val="2"/>
      <w:sz w:val="21"/>
      <w:szCs w:val="24"/>
      <w:lang w:val="en-US" w:eastAsia="zh-CN" w:bidi="ar-SA"/>
    </w:rPr>
  </w:style>
  <w:style w:type="paragraph" w:customStyle="1" w:styleId="12">
    <w:name w:val="页脚 New"/>
    <w:basedOn w:val="11"/>
    <w:next w:val="10"/>
    <w:qFormat/>
    <w:uiPriority w:val="0"/>
    <w:pPr>
      <w:tabs>
        <w:tab w:val="center" w:pos="4153"/>
        <w:tab w:val="right" w:pos="8306"/>
      </w:tabs>
      <w:snapToGrid w:val="0"/>
      <w:jc w:val="left"/>
    </w:pPr>
    <w:rPr>
      <w:rFonts w:ascii="Calibri" w:hAnsi="Calibri"/>
      <w:sz w:val="18"/>
    </w:rPr>
  </w:style>
  <w:style w:type="paragraph" w:styleId="13">
    <w:name w:val="header"/>
    <w:basedOn w:val="1"/>
    <w:link w:val="24"/>
    <w:qFormat/>
    <w:uiPriority w:val="0"/>
    <w:pPr>
      <w:tabs>
        <w:tab w:val="center" w:pos="4153"/>
        <w:tab w:val="right" w:pos="8306"/>
      </w:tabs>
      <w:snapToGrid w:val="0"/>
      <w:spacing w:line="240" w:lineRule="auto"/>
      <w:jc w:val="center"/>
    </w:pPr>
    <w:rPr>
      <w:sz w:val="18"/>
      <w:szCs w:val="18"/>
    </w:rPr>
  </w:style>
  <w:style w:type="paragraph" w:styleId="14">
    <w:name w:val="footnote text"/>
    <w:basedOn w:val="1"/>
    <w:next w:val="15"/>
    <w:qFormat/>
    <w:uiPriority w:val="0"/>
    <w:pPr>
      <w:snapToGrid w:val="0"/>
      <w:jc w:val="left"/>
    </w:pPr>
    <w:rPr>
      <w:sz w:val="18"/>
    </w:rPr>
  </w:style>
  <w:style w:type="paragraph" w:styleId="15">
    <w:name w:val="Body Text First Indent 2"/>
    <w:basedOn w:val="5"/>
    <w:qFormat/>
    <w:uiPriority w:val="0"/>
    <w:pPr>
      <w:spacing w:line="560" w:lineRule="exact"/>
      <w:ind w:firstLine="420" w:firstLineChars="200"/>
    </w:pPr>
    <w:rPr>
      <w:rFonts w:ascii="Times New Roman" w:hAnsi="Times New Roman" w:eastAsia="宋体" w:cs="Times New Roman"/>
      <w:szCs w:val="32"/>
    </w:rPr>
  </w:style>
  <w:style w:type="character" w:styleId="18">
    <w:name w:val="Strong"/>
    <w:basedOn w:val="17"/>
    <w:qFormat/>
    <w:uiPriority w:val="0"/>
    <w:rPr>
      <w:b/>
    </w:rPr>
  </w:style>
  <w:style w:type="character" w:styleId="19">
    <w:name w:val="page number"/>
    <w:basedOn w:val="17"/>
    <w:qFormat/>
    <w:uiPriority w:val="0"/>
  </w:style>
  <w:style w:type="character" w:styleId="20">
    <w:name w:val="Emphasis"/>
    <w:basedOn w:val="17"/>
    <w:qFormat/>
    <w:uiPriority w:val="0"/>
    <w:rPr>
      <w:i/>
    </w:rPr>
  </w:style>
  <w:style w:type="character" w:styleId="21">
    <w:name w:val="footnote reference"/>
    <w:basedOn w:val="17"/>
    <w:qFormat/>
    <w:uiPriority w:val="0"/>
    <w:rPr>
      <w:vertAlign w:val="superscript"/>
    </w:rPr>
  </w:style>
  <w:style w:type="paragraph" w:customStyle="1" w:styleId="22">
    <w:name w:val="目录 11"/>
    <w:next w:val="1"/>
    <w:qFormat/>
    <w:uiPriority w:val="0"/>
    <w:pPr>
      <w:wordWrap w:val="0"/>
      <w:spacing w:after="160" w:line="278" w:lineRule="auto"/>
      <w:jc w:val="both"/>
    </w:pPr>
    <w:rPr>
      <w:rFonts w:ascii="Calibri" w:hAnsi="Calibri" w:eastAsia="宋体" w:cs="Times New Roman"/>
      <w:sz w:val="21"/>
      <w:szCs w:val="22"/>
      <w:lang w:val="en-US" w:eastAsia="zh-CN" w:bidi="ar-SA"/>
    </w:rPr>
  </w:style>
  <w:style w:type="paragraph" w:customStyle="1" w:styleId="23">
    <w:name w:val="Char Char Char Char"/>
    <w:basedOn w:val="1"/>
    <w:qFormat/>
    <w:uiPriority w:val="0"/>
    <w:rPr>
      <w:rFonts w:ascii="Times New Roman" w:hAnsi="Times New Roman" w:cs="Times New Roman"/>
    </w:rPr>
  </w:style>
  <w:style w:type="character" w:customStyle="1" w:styleId="24">
    <w:name w:val="页眉 字符"/>
    <w:basedOn w:val="17"/>
    <w:link w:val="1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fa2d0c15-efd1-4a4e-b517-8212575547f6</errorID>
      <errorWord>商业高质量发展</errorWord>
      <group>L1_Political</group>
      <groupName>政治性问题</groupName>
      <ability>L2_Keyword</ability>
      <abilityName>固定表述</abilityName>
      <candidateList>
        <item>经济高质量发展</item>
      </candidateList>
      <explain>词汇“经济高质量发展”在特定场景下为固定表述形式，请确认此处的“商业高质量发展”是否存在不当。</explain>
      <paraID>24E19FA9</paraID>
      <start>113</start>
      <end>120</end>
      <status>ignored</status>
      <modifiedWord/>
      <trackRevisions>false</trackRevisions>
    </reviewItem>
    <reviewItem>
      <errorID>2356e00e-e0e2-4e3d-8506-90f3760f4772</errorID>
      <errorWord>，</errorWord>
      <group>L1_Word</group>
      <groupName>字词问题</groupName>
      <ability>L2_Typo</ability>
      <abilityName>字词错误</abilityName>
      <candidateList>
        <item>，也</item>
      </candidateList>
      <explain/>
      <paraID>24E19FA9</paraID>
      <start>144</start>
      <end>145</end>
      <status>ignored</status>
      <modifiedWord/>
      <trackRevisions>false</trackRevisions>
    </reviewItem>
    <reviewItem>
      <errorID>b970821e-8c8b-446e-ba9a-7627507b8f9b</errorID>
      <errorWord>商业高质量发展</errorWord>
      <group>L1_Political</group>
      <groupName>政治性问题</groupName>
      <ability>L2_Keyword</ability>
      <abilityName>固定表述</abilityName>
      <candidateList>
        <item>经济高质量发展</item>
      </candidateList>
      <explain>词汇“经济高质量发展”在特定场景下为固定表述形式，请确认此处的“商业高质量发展”是否存在不当。</explain>
      <paraID>24E19FA9</paraID>
      <start>266</start>
      <end>273</end>
      <status>ignored</status>
      <modifiedWord/>
      <trackRevisions>false</trackRevisions>
    </reviewItem>
    <reviewItem>
      <errorID>dd564cc6-b6ce-4888-90bb-3a0f2873138c</errorID>
      <errorWord>商业高质量发展</errorWord>
      <group>L1_Political</group>
      <groupName>政治性问题</groupName>
      <ability>L2_Keyword</ability>
      <abilityName>固定表述</abilityName>
      <candidateList>
        <item>经济高质量发展</item>
      </candidateList>
      <explain>词汇“经济高质量发展”在特定场景下为固定表述形式，请确认此处的“商业高质量发展”是否存在不当。</explain>
      <paraID> 9F6B7D9</paraID>
      <start>215</start>
      <end>222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cf3eef-a2d2-49e0-b92c-252836854a67}">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2588</Words>
  <Characters>2611</Characters>
  <Lines>20</Lines>
  <Paragraphs>5</Paragraphs>
  <TotalTime>23</TotalTime>
  <ScaleCrop>false</ScaleCrop>
  <LinksUpToDate>false</LinksUpToDate>
  <CharactersWithSpaces>2611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2026-09-03T02:30:00Z</dcterms:created>
  <dc:creator>User</dc:creator>
  <cp:lastModifiedBy>陈玉芳</cp:lastModifiedBy>
  <dcterms:modified xsi:type="dcterms:W3CDTF">2026-09-09T01:58:55Z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F57C90118D964E259CF1AEEA7C5AF63E_13</vt:lpwstr>
  </property>
  <property fmtid="{D5CDD505-2E9C-101B-9397-08002B2CF9AE}" pid="4" name="KSOTemplateDocerSaveRecord">
    <vt:lpwstr>eyJoZGlkIjoiN2Q1OWI4M2I5ZjNkNWZjNmY0MDJmNDQwMmJiNDQ0ZWYiLCJ1c2VySWQiOiI2NzE3NTc4MjUifQ==</vt:lpwstr>
  </property>
</Properties>
</file>