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30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default" w:ascii="Times New Roman" w:hAnsi="Times New Roman" w:eastAsia="宋体" w:cs="Times New Roman"/>
          <w:b/>
          <w:bCs/>
          <w:spacing w:val="-17"/>
          <w:sz w:val="48"/>
          <w:szCs w:val="48"/>
          <w:highlight w:val="none"/>
          <w:u w:val="none"/>
          <w:lang w:val="en-US" w:eastAsia="zh-CN"/>
        </w:rPr>
      </w:pPr>
    </w:p>
    <w:p w14:paraId="2199C8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default" w:ascii="Times New Roman" w:hAnsi="Times New Roman" w:eastAsia="宋体" w:cs="Times New Roman"/>
          <w:b/>
          <w:bCs/>
          <w:spacing w:val="-17"/>
          <w:sz w:val="48"/>
          <w:szCs w:val="48"/>
          <w:highlight w:val="none"/>
          <w:u w:val="none"/>
          <w:lang w:val="en-US" w:eastAsia="zh-CN"/>
        </w:rPr>
      </w:pPr>
    </w:p>
    <w:p w14:paraId="3CE99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default" w:ascii="Times New Roman" w:hAnsi="Times New Roman" w:eastAsia="宋体" w:cs="Times New Roman"/>
          <w:b/>
          <w:bCs/>
          <w:spacing w:val="-17"/>
          <w:sz w:val="48"/>
          <w:szCs w:val="48"/>
          <w:highlight w:val="none"/>
          <w:u w:val="none"/>
          <w:lang w:val="en-US" w:eastAsia="zh-CN"/>
        </w:rPr>
      </w:pPr>
    </w:p>
    <w:p w14:paraId="06CF5C51">
      <w:pPr>
        <w:widowControl w:val="0"/>
        <w:kinsoku/>
        <w:autoSpaceDE/>
        <w:autoSpaceDN/>
        <w:adjustRightInd/>
        <w:snapToGrid/>
        <w:spacing w:before="120" w:beforeLines="50" w:line="64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val="en-US" w:eastAsia="zh-CN"/>
        </w:rPr>
        <w:t>北京市大兴区“十五五”时期商业</w:t>
      </w:r>
    </w:p>
    <w:p w14:paraId="1F87C975">
      <w:pPr>
        <w:widowControl w:val="0"/>
        <w:kinsoku/>
        <w:autoSpaceDE/>
        <w:autoSpaceDN/>
        <w:adjustRightInd/>
        <w:snapToGrid/>
        <w:spacing w:before="120" w:beforeLines="50" w:line="64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val="en-US" w:eastAsia="zh-CN"/>
        </w:rPr>
        <w:t>发展规划</w:t>
      </w:r>
    </w:p>
    <w:p w14:paraId="0E8779F7">
      <w:pPr>
        <w:pStyle w:val="2"/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val="en-US" w:eastAsia="zh-CN"/>
        </w:rPr>
      </w:pPr>
    </w:p>
    <w:p w14:paraId="7156E3C3">
      <w:pPr>
        <w:pStyle w:val="3"/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val="en-US" w:eastAsia="zh-CN"/>
        </w:rPr>
      </w:pPr>
    </w:p>
    <w:p w14:paraId="46FC4E5A">
      <w:pPr>
        <w:pStyle w:val="2"/>
        <w:jc w:val="center"/>
        <w:rPr>
          <w:rFonts w:hint="eastAsia" w:ascii="楷体_GB2312" w:hAnsi="楷体_GB2312" w:eastAsia="楷体_GB2312" w:cs="楷体_GB2312"/>
          <w:sz w:val="36"/>
          <w:szCs w:val="36"/>
          <w:lang w:val="en-US" w:eastAsia="zh-CN"/>
        </w:rPr>
      </w:pPr>
      <w:r>
        <w:rPr>
          <w:rFonts w:hint="eastAsia" w:ascii="楷体_GB2312" w:hAnsi="楷体_GB2312" w:eastAsia="楷体_GB2312" w:cs="楷体_GB2312"/>
          <w:snapToGrid/>
          <w:kern w:val="2"/>
          <w:sz w:val="36"/>
          <w:szCs w:val="36"/>
          <w:lang w:val="en-US" w:eastAsia="zh-CN"/>
        </w:rPr>
        <w:t>（征求意见稿）</w:t>
      </w:r>
    </w:p>
    <w:p w14:paraId="01733E5B">
      <w:pPr>
        <w:pStyle w:val="9"/>
        <w:keepNext w:val="0"/>
        <w:keepLines w:val="0"/>
        <w:pageBreakBefore w:val="0"/>
        <w:wordWrap/>
        <w:overflowPunct/>
        <w:topLinePunct w:val="0"/>
        <w:bidi w:val="0"/>
        <w:adjustRightInd/>
        <w:snapToGrid/>
        <w:spacing w:line="560" w:lineRule="exact"/>
        <w:jc w:val="center"/>
        <w:rPr>
          <w:rFonts w:hint="default" w:ascii="Times New Roman" w:hAnsi="Times New Roman" w:eastAsia="楷体_GB2312" w:cs="Times New Roman"/>
          <w:b w:val="0"/>
          <w:bCs w:val="0"/>
          <w:sz w:val="36"/>
          <w:szCs w:val="36"/>
          <w:highlight w:val="none"/>
          <w:lang w:val="en-US" w:eastAsia="zh-CN"/>
        </w:rPr>
      </w:pPr>
    </w:p>
    <w:p w14:paraId="47CE3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default" w:ascii="Times New Roman" w:hAnsi="Times New Roman" w:eastAsia="黑体" w:cs="Times New Roman"/>
          <w:b/>
          <w:bCs/>
          <w:sz w:val="44"/>
          <w:szCs w:val="44"/>
          <w:highlight w:val="none"/>
          <w:lang w:val="en-US" w:eastAsia="zh-CN"/>
        </w:rPr>
      </w:pPr>
    </w:p>
    <w:p w14:paraId="6A896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</w:pPr>
    </w:p>
    <w:p w14:paraId="50773F56">
      <w:pPr>
        <w:pStyle w:val="2"/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</w:pPr>
    </w:p>
    <w:p w14:paraId="4AB27FB2">
      <w:pPr>
        <w:pStyle w:val="3"/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</w:pPr>
    </w:p>
    <w:p w14:paraId="5CD64658">
      <w:pPr>
        <w:pStyle w:val="3"/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</w:pPr>
    </w:p>
    <w:p w14:paraId="4377FE0E">
      <w:pPr>
        <w:pStyle w:val="3"/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</w:pPr>
    </w:p>
    <w:p w14:paraId="6BEC8C73">
      <w:pPr>
        <w:pStyle w:val="3"/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</w:pPr>
    </w:p>
    <w:p w14:paraId="4256B30D">
      <w:pPr>
        <w:pStyle w:val="9"/>
        <w:keepNext w:val="0"/>
        <w:keepLines w:val="0"/>
        <w:pageBreakBefore w:val="0"/>
        <w:wordWrap/>
        <w:overflowPunct/>
        <w:topLinePunct w:val="0"/>
        <w:bidi w:val="0"/>
        <w:adjustRightInd/>
        <w:snapToGrid/>
        <w:spacing w:line="560" w:lineRule="exact"/>
        <w:ind w:firstLine="0" w:firstLineChars="0"/>
        <w:jc w:val="center"/>
        <w:outlineLvl w:val="9"/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</w:pPr>
    </w:p>
    <w:p w14:paraId="57E6EEE9">
      <w:pPr>
        <w:keepNext w:val="0"/>
        <w:keepLines w:val="0"/>
        <w:pageBreakBefore w:val="0"/>
        <w:wordWrap/>
        <w:overflowPunct/>
        <w:topLinePunct w:val="0"/>
        <w:bidi w:val="0"/>
        <w:adjustRightInd/>
        <w:snapToGrid/>
        <w:spacing w:line="560" w:lineRule="exact"/>
        <w:ind w:firstLine="0" w:firstLineChars="0"/>
        <w:jc w:val="center"/>
        <w:outlineLvl w:val="9"/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</w:pPr>
    </w:p>
    <w:p w14:paraId="2D31E7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楷体_GB2312" w:hAnsi="楷体_GB2312" w:eastAsia="楷体_GB2312" w:cs="楷体_GB2312"/>
          <w:snapToGrid/>
          <w:color w:val="auto"/>
          <w:kern w:val="2"/>
          <w:sz w:val="36"/>
          <w:szCs w:val="36"/>
          <w:lang w:val="en-US" w:eastAsia="zh-CN"/>
        </w:rPr>
      </w:pPr>
    </w:p>
    <w:p w14:paraId="0186B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楷体_GB2312" w:hAnsi="楷体_GB2312" w:eastAsia="楷体_GB2312" w:cs="楷体_GB2312"/>
          <w:snapToGrid/>
          <w:color w:val="auto"/>
          <w:kern w:val="2"/>
          <w:sz w:val="36"/>
          <w:szCs w:val="36"/>
          <w:lang w:val="en-US" w:eastAsia="zh-CN"/>
        </w:rPr>
      </w:pPr>
      <w:r>
        <w:rPr>
          <w:rFonts w:hint="default" w:ascii="楷体_GB2312" w:hAnsi="楷体_GB2312" w:eastAsia="楷体_GB2312" w:cs="楷体_GB2312"/>
          <w:snapToGrid/>
          <w:color w:val="auto"/>
          <w:kern w:val="2"/>
          <w:sz w:val="36"/>
          <w:szCs w:val="36"/>
          <w:lang w:val="en-US" w:eastAsia="zh-CN"/>
        </w:rPr>
        <w:t>北京市大兴区商务局</w:t>
      </w:r>
    </w:p>
    <w:p w14:paraId="27BF6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楷体_GB2312" w:hAnsi="楷体_GB2312" w:eastAsia="楷体_GB2312" w:cs="楷体_GB2312"/>
          <w:snapToGrid/>
          <w:color w:val="auto"/>
          <w:kern w:val="2"/>
          <w:sz w:val="36"/>
          <w:szCs w:val="36"/>
          <w:lang w:val="en-US" w:eastAsia="zh-CN"/>
        </w:rPr>
        <w:sectPr>
          <w:headerReference r:id="rId5" w:type="default"/>
          <w:pgSz w:w="11906" w:h="16838"/>
          <w:pgMar w:top="2098" w:right="1474" w:bottom="1984" w:left="1587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default" w:ascii="楷体_GB2312" w:hAnsi="楷体_GB2312" w:eastAsia="楷体_GB2312" w:cs="楷体_GB2312"/>
          <w:snapToGrid/>
          <w:color w:val="auto"/>
          <w:kern w:val="2"/>
          <w:sz w:val="36"/>
          <w:szCs w:val="36"/>
          <w:lang w:val="en-US" w:eastAsia="zh-CN"/>
        </w:rPr>
        <w:t>202</w:t>
      </w:r>
      <w:r>
        <w:rPr>
          <w:rFonts w:hint="eastAsia" w:ascii="楷体_GB2312" w:hAnsi="楷体_GB2312" w:eastAsia="楷体_GB2312" w:cs="楷体_GB2312"/>
          <w:snapToGrid/>
          <w:color w:val="auto"/>
          <w:kern w:val="2"/>
          <w:sz w:val="36"/>
          <w:szCs w:val="36"/>
          <w:lang w:val="en-US" w:eastAsia="zh-CN"/>
        </w:rPr>
        <w:t>6</w:t>
      </w:r>
      <w:r>
        <w:rPr>
          <w:rFonts w:hint="default" w:ascii="楷体_GB2312" w:hAnsi="楷体_GB2312" w:eastAsia="楷体_GB2312" w:cs="楷体_GB2312"/>
          <w:snapToGrid/>
          <w:color w:val="auto"/>
          <w:kern w:val="2"/>
          <w:sz w:val="36"/>
          <w:szCs w:val="36"/>
          <w:lang w:val="en-US" w:eastAsia="zh-CN"/>
        </w:rPr>
        <w:t>年</w:t>
      </w:r>
      <w:r>
        <w:rPr>
          <w:rFonts w:hint="eastAsia" w:ascii="楷体_GB2312" w:hAnsi="楷体_GB2312" w:eastAsia="楷体_GB2312" w:cs="楷体_GB2312"/>
          <w:snapToGrid/>
          <w:color w:val="auto"/>
          <w:kern w:val="2"/>
          <w:sz w:val="36"/>
          <w:szCs w:val="36"/>
          <w:lang w:val="en-US" w:eastAsia="zh-CN"/>
        </w:rPr>
        <w:t>9</w:t>
      </w:r>
      <w:bookmarkStart w:id="593" w:name="_GoBack"/>
      <w:bookmarkEnd w:id="593"/>
      <w:r>
        <w:rPr>
          <w:rFonts w:hint="default" w:ascii="楷体_GB2312" w:hAnsi="楷体_GB2312" w:eastAsia="楷体_GB2312" w:cs="楷体_GB2312"/>
          <w:snapToGrid/>
          <w:color w:val="auto"/>
          <w:kern w:val="2"/>
          <w:sz w:val="36"/>
          <w:szCs w:val="36"/>
          <w:lang w:val="en-US" w:eastAsia="zh-CN"/>
        </w:rPr>
        <w:t>月</w:t>
      </w:r>
    </w:p>
    <w:p w14:paraId="1C505D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outlineLvl w:val="0"/>
        <w:rPr>
          <w:rFonts w:hint="default" w:ascii="黑体" w:hAnsi="黑体" w:eastAsia="黑体" w:cs="黑体"/>
          <w:snapToGrid/>
          <w:color w:val="auto"/>
          <w:kern w:val="2"/>
          <w:sz w:val="36"/>
          <w:szCs w:val="36"/>
          <w:lang w:val="en-US" w:eastAsia="zh-CN" w:bidi="ar-SA"/>
        </w:rPr>
      </w:pPr>
      <w:bookmarkStart w:id="0" w:name="_Toc27629"/>
      <w:bookmarkStart w:id="1" w:name="_Toc12172"/>
      <w:bookmarkStart w:id="2" w:name="_Toc11808"/>
      <w:bookmarkStart w:id="3" w:name="_Toc14861"/>
      <w:bookmarkStart w:id="4" w:name="_Toc24362"/>
      <w:r>
        <w:rPr>
          <w:rFonts w:hint="default" w:ascii="黑体" w:hAnsi="黑体" w:eastAsia="黑体" w:cs="黑体"/>
          <w:snapToGrid/>
          <w:color w:val="auto"/>
          <w:kern w:val="2"/>
          <w:sz w:val="36"/>
          <w:szCs w:val="36"/>
          <w:lang w:val="en-US" w:eastAsia="zh-CN" w:bidi="ar-SA"/>
        </w:rPr>
        <w:t>序</w:t>
      </w:r>
      <w:r>
        <w:rPr>
          <w:rFonts w:hint="eastAsia" w:ascii="黑体" w:hAnsi="黑体" w:eastAsia="黑体" w:cs="黑体"/>
          <w:snapToGrid/>
          <w:color w:val="auto"/>
          <w:kern w:val="2"/>
          <w:sz w:val="36"/>
          <w:szCs w:val="36"/>
          <w:lang w:val="en-US" w:eastAsia="zh-CN" w:bidi="ar-SA"/>
        </w:rPr>
        <w:t xml:space="preserve"> </w:t>
      </w:r>
      <w:r>
        <w:rPr>
          <w:rFonts w:hint="default" w:ascii="黑体" w:hAnsi="黑体" w:eastAsia="黑体" w:cs="黑体"/>
          <w:snapToGrid/>
          <w:color w:val="auto"/>
          <w:kern w:val="2"/>
          <w:sz w:val="36"/>
          <w:szCs w:val="36"/>
          <w:lang w:val="en-US" w:eastAsia="zh-CN" w:bidi="ar-SA"/>
        </w:rPr>
        <w:t>言</w:t>
      </w:r>
      <w:bookmarkEnd w:id="0"/>
      <w:bookmarkEnd w:id="1"/>
      <w:bookmarkEnd w:id="2"/>
      <w:bookmarkEnd w:id="3"/>
      <w:bookmarkEnd w:id="4"/>
    </w:p>
    <w:p w14:paraId="0203778B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“十五五”时期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fill="FFFFFF"/>
          <w:lang w:val="en-US" w:eastAsia="zh-CN"/>
        </w:rPr>
        <w:t>是基本实现社会主义现代化夯实基础、全面发力的关键时期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，是北京市深化国际消费中心城市建设的重要阶段，也是大兴区深化城市功能定位、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fill="FFFFFF"/>
        </w:rPr>
        <w:t>建设繁荣开放国门新城的关键五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shd w:val="clear" w:fill="FFFFFF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。全面贯彻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落实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国家和市级关于扩大内需、提振消费的战略部署，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fill="FFFFFF"/>
          <w:lang w:eastAsia="zh-CN"/>
        </w:rPr>
        <w:t>为推动大兴区商业高质量发展，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加快地区消费市场扩容提质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shd w:val="clear" w:fill="FFFFFF"/>
          <w:lang w:eastAsia="zh-CN"/>
        </w:rPr>
        <w:t>更好地满足人民日益增长的美好生活需要，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充分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发挥消费对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地区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经济发展的主引擎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和压舱石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作用，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根据《北京市大兴区“十五五”专项规划编制工作方案》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《北京市深化改革提振消费专项行动方案》《北京市“十五五”时期深化国际消费中心城市建设规划》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《北京市商业消费空间布局专项规划（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2022年-2035年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）》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《大兴区分区规划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2017年-2035年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》《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北京市大兴区“十五五”时期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国民经济和社会发展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规划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纲要》，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制定本规划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。</w:t>
      </w:r>
    </w:p>
    <w:p w14:paraId="390B44F4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本规划立足于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大兴区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商业发展基础，基于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“十五五”时期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商业发展面临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新形势新要求，明确全区商业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发展的思路目标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、空间布局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、重点任务、重大项目和实施保障，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指导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全区商业发展的行动纲领。</w:t>
      </w:r>
    </w:p>
    <w:p w14:paraId="3FE39B11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本规划适用范围为大兴区行政辖区，规划实施期限为202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6</w:t>
      </w:r>
      <w:r>
        <w:rPr>
          <w:rFonts w:hint="eastAsia" w:hAnsi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-20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。</w:t>
      </w:r>
    </w:p>
    <w:p w14:paraId="5CA38BDC">
      <w:pPr>
        <w:pStyle w:val="9"/>
        <w:keepNext w:val="0"/>
        <w:keepLines w:val="0"/>
        <w:pageBreakBefore w:val="0"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sectPr>
          <w:footerReference r:id="rId6" w:type="default"/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docGrid w:type="lines" w:linePitch="312" w:charSpace="0"/>
        </w:sectPr>
      </w:pPr>
    </w:p>
    <w:p w14:paraId="568B3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outlineLvl w:val="0"/>
        <w:rPr>
          <w:rFonts w:hint="default" w:ascii="Times New Roman" w:hAnsi="Times New Roman" w:eastAsia="黑体" w:cs="Times New Roman"/>
          <w:b w:val="0"/>
          <w:bCs w:val="0"/>
          <w:sz w:val="36"/>
          <w:szCs w:val="36"/>
          <w:highlight w:val="none"/>
          <w:lang w:val="en-US" w:eastAsia="zh-CN"/>
        </w:rPr>
      </w:pPr>
      <w:bookmarkStart w:id="5" w:name="_Toc17013"/>
      <w:bookmarkStart w:id="6" w:name="_Toc21483"/>
      <w:bookmarkStart w:id="7" w:name="_Toc27720"/>
      <w:bookmarkStart w:id="8" w:name="_Toc1816"/>
      <w:bookmarkStart w:id="9" w:name="_Toc4898"/>
      <w:bookmarkStart w:id="10" w:name="_Toc31988"/>
      <w:bookmarkStart w:id="11" w:name="_Toc27008"/>
      <w:bookmarkStart w:id="12" w:name="_Toc4830"/>
      <w:bookmarkStart w:id="13" w:name="_Toc17558"/>
      <w:bookmarkStart w:id="14" w:name="_Toc13905"/>
      <w:bookmarkStart w:id="15" w:name="_Toc4055"/>
      <w:bookmarkStart w:id="16" w:name="_Toc17694"/>
      <w:bookmarkStart w:id="17" w:name="_Toc2231"/>
      <w:bookmarkStart w:id="18" w:name="_Toc13676"/>
      <w:bookmarkStart w:id="19" w:name="_Toc656"/>
      <w:bookmarkStart w:id="20" w:name="_Toc9403"/>
      <w:bookmarkStart w:id="21" w:name="_Toc30347"/>
      <w:bookmarkStart w:id="22" w:name="_Toc5813"/>
      <w:r>
        <w:rPr>
          <w:rFonts w:hint="default" w:ascii="Times New Roman" w:hAnsi="Times New Roman" w:eastAsia="黑体" w:cs="Times New Roman"/>
          <w:b w:val="0"/>
          <w:bCs w:val="0"/>
          <w:sz w:val="36"/>
          <w:szCs w:val="36"/>
          <w:highlight w:val="none"/>
          <w:lang w:val="en-US" w:eastAsia="zh-CN"/>
        </w:rPr>
        <w:t>目</w:t>
      </w:r>
      <w:r>
        <w:rPr>
          <w:rFonts w:hint="eastAsia" w:ascii="Times New Roman" w:hAnsi="Times New Roman" w:eastAsia="黑体" w:cs="Times New Roman"/>
          <w:b w:val="0"/>
          <w:bCs w:val="0"/>
          <w:sz w:val="36"/>
          <w:szCs w:val="36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sz w:val="36"/>
          <w:szCs w:val="36"/>
          <w:highlight w:val="none"/>
          <w:lang w:val="en-US" w:eastAsia="zh-CN"/>
        </w:rPr>
        <w:t>录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14:paraId="14E3DD35">
      <w:pPr>
        <w:pStyle w:val="19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TOC \o "1-2" \h \u </w:instrText>
      </w:r>
      <w:bookmarkStart w:id="23" w:name="_Toc31802"/>
      <w:bookmarkStart w:id="24" w:name="_Toc13547"/>
      <w:bookmarkStart w:id="25" w:name="_Toc23866"/>
      <w:bookmarkStart w:id="26" w:name="_Toc11706"/>
      <w:bookmarkStart w:id="27" w:name="_Toc24514"/>
      <w:bookmarkStart w:id="28" w:name="_Toc25860"/>
      <w:bookmarkStart w:id="29" w:name="_Toc14139"/>
      <w:bookmarkStart w:id="30" w:name="_Toc11397"/>
      <w:bookmarkStart w:id="31" w:name="_Toc32404"/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_Toc6339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黑体" w:cs="Times New Roman"/>
          <w:bCs w:val="0"/>
          <w:sz w:val="32"/>
          <w:szCs w:val="32"/>
          <w:highlight w:val="none"/>
          <w:lang w:val="en-US" w:eastAsia="zh-CN"/>
        </w:rPr>
        <w:t>一、发展基础和形势要求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_Toc6339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- 1 -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7304B1DA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_Toc31867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（一）“十四五”时期主要成就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_Toc31867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- 1 -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5B1ACAC1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_Toc15818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（二）“十五五”时期形势要求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_Toc15818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- 1 -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39E678E7">
      <w:pPr>
        <w:pStyle w:val="19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_Toc31920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黑体" w:cs="Times New Roman"/>
          <w:bCs w:val="0"/>
          <w:sz w:val="32"/>
          <w:szCs w:val="32"/>
          <w:highlight w:val="none"/>
          <w:lang w:val="en-US" w:eastAsia="zh-CN"/>
        </w:rPr>
        <w:t>二、“十五五”时期发展总体要求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_Toc31920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- 2 -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2C85492C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_Toc7924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（一）指导思想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_Toc7924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- 2 -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06091FD9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_Toc9459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（二）基本原则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_Toc9459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- 2 -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45E98AF5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_Toc28547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（三）发展目标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_Toc28547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- 3 -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07EDAF52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_Toc20831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（四）总体布局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_Toc20831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- 4 -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09C64D8E">
      <w:pPr>
        <w:pStyle w:val="19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_Toc8598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黑体" w:cs="Times New Roman"/>
          <w:bCs w:val="0"/>
          <w:sz w:val="32"/>
          <w:szCs w:val="32"/>
          <w:highlight w:val="none"/>
          <w:lang w:val="en-US" w:eastAsia="zh-CN"/>
        </w:rPr>
        <w:t>三、打造高质量商业发展体系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_Toc8598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- 5 -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08B48FB7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_Toc24635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（一）培育大兴机场枢纽世界级商圈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_Toc24635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- 5 -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6154B959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_Toc9310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（二）打造西红门荟聚百亿商圈标杆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_Toc9310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- 5 -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284B0859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_Toc28149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（三）推进地区级商圈特色差异发展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_Toc28149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- 6 -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7D530819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_Toc19612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（四）打造产业园区特色商业微中心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_Toc19612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- 6 -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00569269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_Toc17933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（五）打造一批特色小镇商业微中心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_Toc17933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- 7 -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67BBCF23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_Toc633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（六）新增打造一批品质化商业地标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_Toc633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- 7 -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5A965914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_Toc22567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（七）完善便捷优质的社区商业体系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_Toc22567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- 8 -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6FCD709E">
      <w:pPr>
        <w:pStyle w:val="19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_Toc26298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黑体" w:cs="Times New Roman"/>
          <w:bCs w:val="0"/>
          <w:sz w:val="32"/>
          <w:szCs w:val="32"/>
          <w:highlight w:val="none"/>
          <w:lang w:val="en-US" w:eastAsia="zh-CN"/>
        </w:rPr>
        <w:t>四、增强品质商业消费供给能力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_Toc26298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- 8 -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554D59F3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_Toc15068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（一）实施首店首发能级提升行动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_Toc15068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- 8 -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4030B3C0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_Toc29394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（二）实施商业品牌汇聚提升行动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_Toc29394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- 8 -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168BB919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_Toc21007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（三）实施餐饮消费提振升级行动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_Toc21007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- 9 -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187E7B0D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_Toc29293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（四）实施</w:t>
      </w:r>
      <w:r>
        <w:rPr>
          <w:rFonts w:hint="eastAsia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入境</w:t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消费功能提升行动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_Toc29293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- 9 -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5DDBFDA6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_Toc7363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（五）实施大宗消费更新升级行动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_Toc7363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- 9 -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115011F8">
      <w:pPr>
        <w:pStyle w:val="19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_Toc27236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黑体" w:cs="Times New Roman"/>
          <w:bCs w:val="0"/>
          <w:sz w:val="32"/>
          <w:szCs w:val="32"/>
          <w:highlight w:val="none"/>
          <w:lang w:val="en-US" w:eastAsia="zh-CN"/>
        </w:rPr>
        <w:t>五、拓展丰富消费新模式新场景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_Toc27236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- 10 -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56179BA6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_Toc3782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（一）深化文商旅体展融合发展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_Toc3782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- 10 -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593FC718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_Toc15547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（二）培育医药健康消费特色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_Toc15547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- 10 -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2BA5FC0F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_Toc20115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（三）积极发展数智绿色消费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_Toc20115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- 10 -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79775A9B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_Toc5429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（四）提升文旅体育消费活力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_Toc5429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- 11 -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70DE46E6">
      <w:pPr>
        <w:pStyle w:val="19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_Toc13884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黑体" w:cs="Times New Roman"/>
          <w:bCs w:val="0"/>
          <w:sz w:val="32"/>
          <w:szCs w:val="32"/>
          <w:highlight w:val="none"/>
          <w:lang w:val="en-US" w:eastAsia="zh-CN"/>
        </w:rPr>
        <w:t>六、深层次融入双循环互促格局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_Toc13884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- 11 -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7AA430B7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_Toc30736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（一）打造国际商贸流通枢纽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_Toc30736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- 11 -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01534DF2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_Toc30922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（二）推进电子商务做大做强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_Toc30922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- 12 -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12A4D6C4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_Toc17704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（三）推动贸易规模稳步提升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_Toc17704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- 12 -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01701491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_Toc1558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（四）促进重点领域开放协同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_Toc1558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- 12 -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2E10BB7E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_Toc7523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（五）加强高能级商贸主体引育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_Toc7523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- 13 -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40891D95">
      <w:pPr>
        <w:pStyle w:val="19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_Toc12964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黑体" w:cs="Times New Roman"/>
          <w:bCs w:val="0"/>
          <w:sz w:val="32"/>
          <w:szCs w:val="32"/>
          <w:highlight w:val="none"/>
          <w:lang w:val="en-US" w:eastAsia="zh-CN"/>
        </w:rPr>
        <w:t>七、营造国际一流消费体验环境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_Toc12964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- 13 -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7269D7B9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_Toc8404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（一）活跃地区消费氛围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_Toc8404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- 13 -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6A593A9D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_Toc19992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（二）优化消费体验环境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_Toc19992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- 14 -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4F029CEB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_Toc6599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（三）营造良好营商环境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_Toc6599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- 14 -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62E72E69">
      <w:pPr>
        <w:pStyle w:val="19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_Toc19323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黑体" w:cs="Times New Roman"/>
          <w:bCs w:val="0"/>
          <w:sz w:val="32"/>
          <w:szCs w:val="32"/>
          <w:highlight w:val="none"/>
          <w:lang w:val="en-US" w:eastAsia="zh-CN"/>
        </w:rPr>
        <w:t>八、规划实施保障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_Toc19323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- 14 -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1E9ED971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_Toc2697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（一）加强组织领导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_Toc2697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- 14 -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20E8D413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_Toc22929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（二）加强政策支持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_Toc22929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- 14 -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4295F149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_Toc28118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（三）加强监测评估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_Toc28118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- 15 -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0F26C2EF">
      <w:pPr>
        <w:pStyle w:val="21"/>
        <w:keepNext w:val="0"/>
        <w:keepLines w:val="0"/>
        <w:pageBreakBefore w:val="0"/>
        <w:tabs>
          <w:tab w:val="right" w:leader="dot" w:pos="8306"/>
        </w:tabs>
        <w:wordWrap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instrText xml:space="preserve"> HYPERLINK \l _Toc31517 </w:instrTex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val="en-US" w:eastAsia="zh-CN"/>
        </w:rPr>
        <w:t>（四）加强宣传推介</w:t>
      </w:r>
      <w:r>
        <w:rPr>
          <w:rFonts w:hint="default" w:ascii="Times New Roman" w:hAnsi="Times New Roman" w:cs="Times New Roman"/>
          <w:sz w:val="32"/>
          <w:szCs w:val="32"/>
        </w:rPr>
        <w:tab/>
      </w:r>
      <w:r>
        <w:rPr>
          <w:rFonts w:hint="default" w:ascii="Times New Roman" w:hAnsi="Times New Roman" w:cs="Times New Roman"/>
          <w:sz w:val="32"/>
          <w:szCs w:val="32"/>
        </w:rPr>
        <w:fldChar w:fldCharType="begin"/>
      </w:r>
      <w:r>
        <w:rPr>
          <w:rFonts w:hint="default" w:ascii="Times New Roman" w:hAnsi="Times New Roman" w:cs="Times New Roman"/>
          <w:sz w:val="32"/>
          <w:szCs w:val="32"/>
        </w:rPr>
        <w:instrText xml:space="preserve"> PAGEREF _Toc31517 \h </w:instrText>
      </w:r>
      <w:r>
        <w:rPr>
          <w:rFonts w:hint="default" w:ascii="Times New Roman" w:hAnsi="Times New Roman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>- 15 -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</w:p>
    <w:p w14:paraId="7C72A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0"/>
        <w:rPr>
          <w:rFonts w:hint="default" w:ascii="Times New Roman" w:hAnsi="Times New Roman" w:cs="Times New Roman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fldChar w:fldCharType="end"/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Start w:id="32" w:name="_Toc5760"/>
      <w:bookmarkStart w:id="33" w:name="_Toc2436"/>
      <w:bookmarkStart w:id="34" w:name="_Toc4938"/>
      <w:bookmarkStart w:id="35" w:name="_Toc16370"/>
      <w:bookmarkStart w:id="36" w:name="_Toc28888"/>
      <w:bookmarkStart w:id="37" w:name="_Toc30006"/>
      <w:bookmarkStart w:id="38" w:name="_Toc8852"/>
      <w:bookmarkStart w:id="39" w:name="_Toc9347"/>
      <w:bookmarkStart w:id="40" w:name="_Toc11554"/>
      <w:bookmarkStart w:id="41" w:name="_Toc26751"/>
      <w:bookmarkStart w:id="42" w:name="_Toc3068"/>
      <w:bookmarkStart w:id="43" w:name="_Toc6239"/>
      <w:bookmarkStart w:id="44" w:name="_Toc19041"/>
    </w:p>
    <w:p w14:paraId="40813C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0"/>
        <w:rPr>
          <w:rFonts w:hint="default" w:ascii="Times New Roman" w:hAnsi="Times New Roman" w:cs="Times New Roman"/>
          <w:sz w:val="32"/>
          <w:szCs w:val="32"/>
          <w:highlight w:val="none"/>
        </w:rPr>
      </w:pPr>
    </w:p>
    <w:p w14:paraId="25109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0"/>
        <w:rPr>
          <w:rFonts w:hint="default" w:ascii="Times New Roman" w:hAnsi="Times New Roman" w:cs="Times New Roman"/>
          <w:sz w:val="32"/>
          <w:szCs w:val="32"/>
          <w:highlight w:val="none"/>
        </w:rPr>
      </w:pPr>
    </w:p>
    <w:p w14:paraId="74149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0"/>
        <w:rPr>
          <w:rFonts w:hint="default" w:ascii="Times New Roman" w:hAnsi="Times New Roman" w:cs="Times New Roman"/>
          <w:sz w:val="32"/>
          <w:szCs w:val="32"/>
          <w:highlight w:val="none"/>
        </w:rPr>
      </w:pPr>
    </w:p>
    <w:p w14:paraId="7C884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0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sectPr>
          <w:footerReference r:id="rId7" w:type="default"/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docGrid w:type="lines" w:linePitch="312" w:charSpace="0"/>
        </w:sectPr>
      </w:pPr>
      <w:bookmarkStart w:id="45" w:name="_Toc6339"/>
    </w:p>
    <w:p w14:paraId="66763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一、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发展基础和形势要求</w:t>
      </w:r>
      <w:bookmarkEnd w:id="44"/>
      <w:bookmarkEnd w:id="45"/>
    </w:p>
    <w:p w14:paraId="4DD306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46" w:name="_Toc29803"/>
      <w:bookmarkStart w:id="47" w:name="_Toc1501"/>
      <w:bookmarkStart w:id="48" w:name="_Toc16058"/>
      <w:bookmarkStart w:id="49" w:name="_Toc22335"/>
      <w:bookmarkStart w:id="50" w:name="_Toc5239"/>
      <w:bookmarkStart w:id="51" w:name="_Toc6903"/>
      <w:bookmarkStart w:id="52" w:name="_Toc31211"/>
      <w:bookmarkStart w:id="53" w:name="_Toc27810"/>
      <w:bookmarkStart w:id="54" w:name="_Toc3480"/>
      <w:bookmarkStart w:id="55" w:name="_Toc7515"/>
      <w:bookmarkStart w:id="56" w:name="_Toc1429"/>
      <w:bookmarkStart w:id="57" w:name="_Toc4515"/>
      <w:bookmarkStart w:id="58" w:name="_Toc18726"/>
      <w:bookmarkStart w:id="59" w:name="_Toc31867"/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（一）</w:t>
      </w:r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“十四五”时期主要成就</w:t>
      </w:r>
      <w:bookmarkEnd w:id="58"/>
      <w:bookmarkEnd w:id="59"/>
    </w:p>
    <w:p w14:paraId="48BBFF8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“十四五”期间，在扩内需</w:t>
      </w:r>
      <w:r>
        <w:rPr>
          <w:rFonts w:hint="eastAsia" w:hAnsi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促消费政策有力驱动下，大兴区消费市场保持较强发展韧性。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产业规模与效益同步提升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，2025年批发和零售、住宿和餐饮业增加值达81.2亿元，较2020年增长30.1%；规上法人单位营收达1757.5亿元，较2020年增长66.0%。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商业空间布局持续优化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，西红门、天宫院、火神庙商圈</w:t>
      </w:r>
      <w:r>
        <w:rPr>
          <w:rFonts w:hint="eastAsia" w:hAnsi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功能升级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，绿地缤纷荟、航城·世界坊等项目投入运营。</w:t>
      </w:r>
      <w:r>
        <w:rPr>
          <w:rFonts w:hint="eastAsia" w:hAnsi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商业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业态</w:t>
      </w:r>
      <w:r>
        <w:rPr>
          <w:rFonts w:hint="eastAsia" w:hAnsi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品质稳步提档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，累计引进首店149家，荟聚购物中心获评全市首批全球首发中心</w:t>
      </w:r>
      <w:r>
        <w:rPr>
          <w:rFonts w:hint="eastAsia" w:hAnsi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累计建成63个一刻钟便民生活圈。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消费创新</w:t>
      </w:r>
      <w:r>
        <w:rPr>
          <w:rFonts w:hint="eastAsia" w:hAnsi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融合发展成效明显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，4个项目获评市级信息消费体验中心，3家企业获评市级直播电商基地，荟聚</w:t>
      </w:r>
      <w:r>
        <w:rPr>
          <w:rFonts w:hint="eastAsia" w:hAnsi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购物中心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、龙湖</w:t>
      </w:r>
      <w:r>
        <w:rPr>
          <w:rFonts w:hint="eastAsia" w:hAnsi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大兴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天街、绿地缤纷城获评“夜京城”融合消费打卡地。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国际资源配置能力</w:t>
      </w:r>
      <w:r>
        <w:rPr>
          <w:rFonts w:hint="eastAsia" w:hAnsi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增强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，大兴机场累计旅客吞吐量超2亿人次，货邮吞吐量保持前列，口岸进出口规模累计突破千亿元。</w:t>
      </w:r>
    </w:p>
    <w:p w14:paraId="6D8512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60" w:name="_Toc28695"/>
      <w:bookmarkStart w:id="61" w:name="_Toc29663"/>
      <w:bookmarkStart w:id="62" w:name="_Toc30030"/>
      <w:bookmarkStart w:id="63" w:name="_Toc29770"/>
      <w:bookmarkStart w:id="64" w:name="_Toc6494"/>
      <w:bookmarkStart w:id="65" w:name="_Toc9743"/>
      <w:bookmarkStart w:id="66" w:name="_Toc1632"/>
      <w:bookmarkStart w:id="67" w:name="_Toc5666"/>
      <w:bookmarkStart w:id="68" w:name="_Toc2731"/>
      <w:bookmarkStart w:id="69" w:name="_Toc238"/>
      <w:bookmarkStart w:id="70" w:name="_Toc13853"/>
      <w:bookmarkStart w:id="71" w:name="_Toc14078"/>
      <w:bookmarkStart w:id="72" w:name="_Toc15818"/>
      <w:bookmarkStart w:id="73" w:name="_Toc8085"/>
      <w:bookmarkStart w:id="74" w:name="_Toc20652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（二）“十五五”时期形势要求</w:t>
      </w:r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</w:p>
    <w:p w14:paraId="0FE8880C">
      <w:pPr>
        <w:pStyle w:val="3"/>
        <w:keepNext w:val="0"/>
        <w:keepLines w:val="0"/>
        <w:widowControl/>
        <w:suppressLineNumbers w:val="0"/>
        <w:shd w:val="clear"/>
        <w:kinsoku/>
        <w:autoSpaceDE/>
        <w:autoSpaceDN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hAnsi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</w:pPr>
      <w:bookmarkStart w:id="75" w:name="_Toc5955"/>
      <w:bookmarkStart w:id="76" w:name="_Toc3898"/>
      <w:bookmarkStart w:id="77" w:name="_Toc28194"/>
      <w:bookmarkStart w:id="78" w:name="_Toc2703"/>
      <w:bookmarkStart w:id="79" w:name="_Toc21058"/>
      <w:bookmarkStart w:id="80" w:name="_Toc26539"/>
      <w:bookmarkStart w:id="81" w:name="_Toc11734"/>
      <w:bookmarkStart w:id="82" w:name="_Toc31478"/>
      <w:bookmarkStart w:id="83" w:name="_Toc3317"/>
      <w:bookmarkStart w:id="84" w:name="_Toc5971"/>
      <w:bookmarkStart w:id="85" w:name="_Toc7432"/>
      <w:bookmarkStart w:id="86" w:name="_Toc4681"/>
      <w:bookmarkStart w:id="87" w:name="_Toc33730316"/>
      <w:bookmarkStart w:id="88" w:name="_Toc27644442"/>
      <w:bookmarkStart w:id="89" w:name="_Toc9868"/>
      <w:bookmarkStart w:id="90" w:name="_Toc27644440"/>
      <w:bookmarkStart w:id="91" w:name="_Toc33730314"/>
      <w:r>
        <w:rPr>
          <w:rFonts w:hint="eastAsia" w:hAnsi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“十五五”时期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，国家深入实施扩大内需战略</w:t>
      </w:r>
      <w:r>
        <w:rPr>
          <w:rFonts w:hint="eastAsia" w:hAnsi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统筹推进服务业提质增效，京津冀协同发展纵深推进，</w:t>
      </w:r>
      <w:r>
        <w:rPr>
          <w:rFonts w:hint="eastAsia" w:hAnsi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北京国际消费中心城市深化建设，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多重战略机遇叠加，为大兴区消费市场扩容升级注入强劲动力。在面临机遇同时，大兴区发展</w:t>
      </w:r>
      <w:r>
        <w:rPr>
          <w:rFonts w:hint="eastAsia" w:hAnsi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存在现实挑战</w:t>
      </w:r>
      <w:r>
        <w:rPr>
          <w:rFonts w:hint="eastAsia" w:hAnsi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fill="FFFFFF"/>
          <w:lang w:eastAsia="zh-CN" w:bidi="ar"/>
        </w:rPr>
        <w:t>消费市场增长乏力</w:t>
      </w:r>
      <w:r>
        <w:rPr>
          <w:rFonts w:hint="eastAsia" w:hAnsi="仿宋_GB2312" w:cs="仿宋_GB2312"/>
          <w:color w:val="auto"/>
          <w:sz w:val="32"/>
          <w:szCs w:val="32"/>
          <w:highlight w:val="none"/>
          <w:shd w:val="clear" w:fill="FFFFFF"/>
          <w:lang w:eastAsia="zh-CN" w:bidi="ar"/>
        </w:rPr>
        <w:t>，消费规模和能级与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fill="FFFFFF"/>
          <w:lang w:eastAsia="zh-CN" w:bidi="ar"/>
        </w:rPr>
        <w:t>新大兴新国门建设要求存在差距；区域</w:t>
      </w:r>
      <w:r>
        <w:rPr>
          <w:rFonts w:hint="eastAsia" w:hAnsi="仿宋_GB2312" w:cs="仿宋_GB2312"/>
          <w:color w:val="auto"/>
          <w:sz w:val="32"/>
          <w:szCs w:val="32"/>
          <w:highlight w:val="none"/>
          <w:shd w:val="clear" w:fill="FFFFFF"/>
          <w:lang w:eastAsia="zh-CN" w:bidi="ar"/>
        </w:rPr>
        <w:t>消费竞争力不突出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fill="FFFFFF"/>
          <w:lang w:eastAsia="zh-CN" w:bidi="ar"/>
        </w:rPr>
        <w:t>，消费业态与临空经济、</w:t>
      </w:r>
      <w:r>
        <w:rPr>
          <w:rFonts w:hint="eastAsia" w:hAnsi="仿宋_GB2312" w:cs="仿宋_GB2312"/>
          <w:color w:val="auto"/>
          <w:sz w:val="32"/>
          <w:szCs w:val="32"/>
          <w:highlight w:val="none"/>
          <w:shd w:val="clear" w:fill="FFFFFF"/>
          <w:lang w:eastAsia="zh-CN" w:bidi="ar"/>
        </w:rPr>
        <w:t>生物医药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fill="FFFFFF"/>
          <w:lang w:eastAsia="zh-CN" w:bidi="ar"/>
        </w:rPr>
        <w:t>等优势产业联动不够</w:t>
      </w:r>
      <w:r>
        <w:rPr>
          <w:rFonts w:hint="eastAsia" w:hAnsi="仿宋_GB2312" w:cs="仿宋_GB2312"/>
          <w:color w:val="auto"/>
          <w:sz w:val="32"/>
          <w:szCs w:val="32"/>
          <w:highlight w:val="none"/>
          <w:shd w:val="clear" w:fill="FFFFFF"/>
          <w:lang w:eastAsia="zh-CN" w:bidi="ar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fill="FFFFFF"/>
          <w:lang w:eastAsia="zh-CN" w:bidi="ar"/>
        </w:rPr>
        <w:t>外向型消费</w:t>
      </w:r>
      <w:r>
        <w:rPr>
          <w:rFonts w:hint="eastAsia" w:hAnsi="仿宋_GB2312" w:cs="仿宋_GB2312"/>
          <w:color w:val="auto"/>
          <w:sz w:val="32"/>
          <w:szCs w:val="32"/>
          <w:highlight w:val="none"/>
          <w:shd w:val="clear" w:fill="FFFFFF"/>
          <w:lang w:eastAsia="zh-CN" w:bidi="ar"/>
        </w:rPr>
        <w:t>、融合型消费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fill="FFFFFF"/>
          <w:lang w:eastAsia="zh-CN" w:bidi="ar"/>
        </w:rPr>
        <w:t>发展有待加强</w:t>
      </w:r>
      <w:r>
        <w:rPr>
          <w:rFonts w:hint="eastAsia" w:hAnsi="仿宋_GB2312" w:cs="仿宋_GB2312"/>
          <w:color w:val="auto"/>
          <w:sz w:val="32"/>
          <w:szCs w:val="32"/>
          <w:highlight w:val="none"/>
          <w:shd w:val="clear" w:fill="FFFFFF"/>
          <w:lang w:eastAsia="zh-CN" w:bidi="ar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面向未来，大兴区应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fill="FFFFFF"/>
          <w:lang w:eastAsia="zh-CN" w:bidi="ar"/>
        </w:rPr>
        <w:t>立足国家战略布局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，紧抓“两区”建设契机，扩大品质化、国际化、多元化消费供给，打造首都南部特色消费增长极，有力支撑北京国际消费中心城市建设</w:t>
      </w:r>
      <w:r>
        <w:rPr>
          <w:rFonts w:hint="eastAsia" w:hAnsi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 w:bidi="ar"/>
        </w:rPr>
        <w:t>。</w:t>
      </w:r>
    </w:p>
    <w:bookmarkEnd w:id="75"/>
    <w:bookmarkEnd w:id="76"/>
    <w:bookmarkEnd w:id="77"/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p w14:paraId="79367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</w:pPr>
      <w:bookmarkStart w:id="92" w:name="_Toc21099"/>
      <w:bookmarkStart w:id="93" w:name="_Toc10561"/>
      <w:bookmarkStart w:id="94" w:name="_Toc5625"/>
      <w:bookmarkStart w:id="95" w:name="_Toc13111"/>
      <w:bookmarkStart w:id="96" w:name="_Toc6014"/>
      <w:bookmarkStart w:id="97" w:name="_Toc29389"/>
      <w:bookmarkStart w:id="98" w:name="_Toc32742"/>
      <w:bookmarkStart w:id="99" w:name="_Toc21976"/>
      <w:bookmarkStart w:id="100" w:name="_Toc20347"/>
      <w:bookmarkStart w:id="101" w:name="_Toc9451"/>
      <w:bookmarkStart w:id="102" w:name="_Toc13386"/>
      <w:bookmarkStart w:id="103" w:name="_Toc1249"/>
      <w:bookmarkStart w:id="104" w:name="_Toc31020"/>
      <w:bookmarkStart w:id="105" w:name="_Toc31920"/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、“十五五”时期发展</w:t>
      </w:r>
      <w:bookmarkEnd w:id="87"/>
      <w:bookmarkEnd w:id="88"/>
      <w:bookmarkEnd w:id="89"/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总体</w:t>
      </w:r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要求</w:t>
      </w:r>
      <w:bookmarkEnd w:id="105"/>
    </w:p>
    <w:p w14:paraId="320892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106" w:name="_Toc31511"/>
      <w:bookmarkStart w:id="107" w:name="_Toc19366"/>
      <w:bookmarkStart w:id="108" w:name="_Toc18916"/>
      <w:bookmarkStart w:id="109" w:name="_Toc9861"/>
      <w:bookmarkStart w:id="110" w:name="_Toc7357"/>
      <w:bookmarkStart w:id="111" w:name="_Toc27250"/>
      <w:bookmarkStart w:id="112" w:name="_Toc2010"/>
      <w:bookmarkStart w:id="113" w:name="_Toc13400"/>
      <w:bookmarkStart w:id="114" w:name="_Toc27787"/>
      <w:bookmarkStart w:id="115" w:name="_Toc13161"/>
      <w:bookmarkStart w:id="116" w:name="_Toc7924"/>
      <w:bookmarkStart w:id="117" w:name="_Toc4207"/>
      <w:bookmarkStart w:id="118" w:name="_Toc14634"/>
      <w:bookmarkStart w:id="119" w:name="_Toc7583"/>
      <w:bookmarkStart w:id="120" w:name="_Toc13270"/>
      <w:bookmarkStart w:id="121" w:name="_Toc26313"/>
      <w:bookmarkStart w:id="122" w:name="_Toc799"/>
      <w:bookmarkStart w:id="123" w:name="_Toc1544"/>
      <w:bookmarkStart w:id="124" w:name="_Toc20513"/>
      <w:bookmarkStart w:id="125" w:name="_Toc7173"/>
      <w:bookmarkStart w:id="126" w:name="_Toc17186"/>
      <w:bookmarkStart w:id="127" w:name="_Toc2164"/>
      <w:bookmarkStart w:id="128" w:name="_Toc6981"/>
      <w:bookmarkStart w:id="129" w:name="_Toc26692"/>
      <w:bookmarkStart w:id="130" w:name="_Toc15902"/>
      <w:bookmarkStart w:id="131" w:name="_Toc32369"/>
      <w:bookmarkStart w:id="132" w:name="_Toc3785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（一）指导思想</w:t>
      </w:r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</w:p>
    <w:p w14:paraId="77BE6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D0D0D" w:themeColor="text1" w:themeTint="F2"/>
          <w:spacing w:val="0"/>
          <w:kern w:val="2"/>
          <w:sz w:val="32"/>
          <w:szCs w:val="32"/>
          <w:highlight w:val="none"/>
          <w:shd w:val="clear" w:fill="auto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D0D0D" w:themeColor="text1" w:themeTint="F2"/>
          <w:spacing w:val="0"/>
          <w:kern w:val="2"/>
          <w:sz w:val="32"/>
          <w:szCs w:val="32"/>
          <w:highlight w:val="none"/>
          <w:shd w:val="clear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全面贯彻习近平新时代中国特色社会主义思想，深入贯彻党的二十大和二十届历次全会精神，深入贯彻习近平总书记对北京重要讲话精神，以新时代首都发展为统领，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D0D0D" w:themeColor="text1" w:themeTint="F2"/>
          <w:spacing w:val="0"/>
          <w:kern w:val="2"/>
          <w:sz w:val="32"/>
          <w:szCs w:val="32"/>
          <w:highlight w:val="none"/>
          <w:shd w:val="clear" w:fill="auto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紧扣“三区一门户”功能定位，以满足消费升级需求和产业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D0D0D" w:themeColor="text1" w:themeTint="F2"/>
          <w:spacing w:val="0"/>
          <w:kern w:val="2"/>
          <w:sz w:val="32"/>
          <w:szCs w:val="32"/>
          <w:highlight w:val="none"/>
          <w:shd w:val="clear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服务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D0D0D" w:themeColor="text1" w:themeTint="F2"/>
          <w:spacing w:val="0"/>
          <w:kern w:val="2"/>
          <w:sz w:val="32"/>
          <w:szCs w:val="32"/>
          <w:highlight w:val="none"/>
          <w:shd w:val="clear" w:fill="auto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配套为导向，优化商业布局、完善商贸体系、扩大优质供给、拓展模式场景、深化开放合作、提升消费环境，补短板、提品质、强品牌、亮特色，全面提升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D0D0D" w:themeColor="text1" w:themeTint="F2"/>
          <w:spacing w:val="0"/>
          <w:kern w:val="2"/>
          <w:sz w:val="32"/>
          <w:szCs w:val="32"/>
          <w:highlight w:val="none"/>
          <w:shd w:val="clear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大兴区消费市场规模和能级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D0D0D" w:themeColor="text1" w:themeTint="F2"/>
          <w:spacing w:val="0"/>
          <w:kern w:val="2"/>
          <w:sz w:val="32"/>
          <w:szCs w:val="32"/>
          <w:highlight w:val="none"/>
          <w:shd w:val="clear" w:fill="auto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，为“6+5+3”产业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D0D0D" w:themeColor="text1" w:themeTint="F2"/>
          <w:spacing w:val="0"/>
          <w:kern w:val="2"/>
          <w:sz w:val="32"/>
          <w:szCs w:val="32"/>
          <w:highlight w:val="none"/>
          <w:shd w:val="clear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布局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D0D0D" w:themeColor="text1" w:themeTint="F2"/>
          <w:spacing w:val="0"/>
          <w:kern w:val="2"/>
          <w:sz w:val="32"/>
          <w:szCs w:val="32"/>
          <w:highlight w:val="none"/>
          <w:shd w:val="clear" w:fill="auto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构建提供有力支撑，为北京国际消费中心城市建设贡献大兴力量。</w:t>
      </w:r>
    </w:p>
    <w:p w14:paraId="0D477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133" w:name="_Toc9459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（二）</w:t>
      </w:r>
      <w:bookmarkEnd w:id="120"/>
      <w:bookmarkEnd w:id="121"/>
      <w:bookmarkEnd w:id="122"/>
      <w:bookmarkEnd w:id="123"/>
      <w:bookmarkEnd w:id="124"/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基本原则</w:t>
      </w:r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</w:p>
    <w:p w14:paraId="4EBD7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坚持服务大局，彰显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/>
          <w:lang w:val="en-US" w:eastAsia="zh-CN"/>
        </w:rPr>
        <w:t>首都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新国门魅力。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/>
          <w:lang w:eastAsia="zh-CN"/>
        </w:rPr>
        <w:t>以大兴机场和南中轴延长线区域为核心承载，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强化国际消费、国际会展、免税购物、国潮体验等功能布局，高效转化“双枢纽”客流资源，彰显“国际会客厅”功能。</w:t>
      </w:r>
    </w:p>
    <w:p w14:paraId="0A100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Style w:val="2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shd w:val="clear" w:fill="auto"/>
          <w:lang w:val="en-US" w:eastAsia="zh-CN"/>
        </w:rPr>
        <w:t>坚持功能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shd w:val="clear"/>
          <w:lang w:val="en-US" w:eastAsia="zh-CN"/>
        </w:rPr>
        <w:t>筑基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，夯实新大兴发展支撑。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围绕“6+5+3”产业布局，深化产城融合，</w:t>
      </w:r>
      <w:r>
        <w:rPr>
          <w:rStyle w:val="2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完善商务服务、智慧物流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/>
          <w:lang w:eastAsia="zh-CN"/>
        </w:rPr>
        <w:t>、消费体验</w:t>
      </w:r>
      <w:r>
        <w:rPr>
          <w:rStyle w:val="2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等</w:t>
      </w:r>
      <w:r>
        <w:rPr>
          <w:rStyle w:val="25"/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功能</w:t>
      </w:r>
      <w:r>
        <w:rPr>
          <w:rStyle w:val="2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/>
          <w:lang w:eastAsia="zh-CN"/>
        </w:rPr>
        <w:t>，形成商业发展与产业升级、城市功能提升协同互促机制，</w:t>
      </w:r>
      <w:r>
        <w:rPr>
          <w:rStyle w:val="25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为打造首都南部高质量发展新高地提供坚实支撑。</w:t>
      </w:r>
    </w:p>
    <w:p w14:paraId="760A65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坚持民生优先，增强人民群众幸福感。</w:t>
      </w:r>
      <w:r>
        <w:rPr>
          <w:rStyle w:val="25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践行以人民为中</w:t>
      </w:r>
      <w:r>
        <w:rPr>
          <w:rStyle w:val="25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心的发展理念，</w:t>
      </w:r>
      <w:r>
        <w:rPr>
          <w:rStyle w:val="2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精准对接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fill="auto"/>
          <w:lang w:val="en-US" w:eastAsia="zh-CN"/>
        </w:rPr>
        <w:t>居民、产业人才、商务人士、入境旅客等</w:t>
      </w:r>
      <w:r>
        <w:rPr>
          <w:rStyle w:val="25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多元消费需求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fill="auto"/>
          <w:lang w:val="en-US" w:eastAsia="zh-CN"/>
        </w:rPr>
        <w:t>，</w:t>
      </w:r>
      <w:r>
        <w:rPr>
          <w:rStyle w:val="2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构建全龄友好、主客共享的商业服务体系，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切实增强群众获得感、幸福感、安全感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fill="auto"/>
          <w:lang w:val="en-US" w:eastAsia="zh-CN"/>
        </w:rPr>
        <w:t>。</w:t>
      </w:r>
    </w:p>
    <w:p w14:paraId="7F04104E">
      <w:pPr>
        <w:spacing w:line="560" w:lineRule="exact"/>
        <w:ind w:firstLine="643"/>
        <w:rPr>
          <w:rStyle w:val="2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坚持开放协同，融入双循环互促格局。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立足京津冀协同发展战略，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fill="auto"/>
          <w:lang w:eastAsia="zh-CN"/>
        </w:rPr>
        <w:t>释放临空区、自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shd w:val="clear" w:fill="auto"/>
          <w:lang w:eastAsia="zh-CN"/>
        </w:rPr>
        <w:t>贸区、综保区政策叠加优势，深化京津冀产业链供应链协作，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织密商贸流通网络，构建“买全球、卖全球”商贸体系，增强全球消费资源配置能力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shd w:val="clear" w:fill="auto"/>
          <w:lang w:eastAsia="zh-CN"/>
        </w:rPr>
        <w:t>。</w:t>
      </w:r>
    </w:p>
    <w:p w14:paraId="3A026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134" w:name="_Toc4236"/>
      <w:bookmarkStart w:id="135" w:name="_Toc25920"/>
      <w:bookmarkStart w:id="136" w:name="_Toc30307"/>
      <w:bookmarkStart w:id="137" w:name="_Toc23277"/>
      <w:bookmarkStart w:id="138" w:name="_Toc3531"/>
      <w:bookmarkStart w:id="139" w:name="_Toc20899"/>
      <w:bookmarkStart w:id="140" w:name="_Toc30215"/>
      <w:bookmarkStart w:id="141" w:name="_Toc23695"/>
      <w:bookmarkStart w:id="142" w:name="_Toc25652"/>
      <w:bookmarkStart w:id="143" w:name="_Toc14901"/>
      <w:bookmarkStart w:id="144" w:name="_Toc3967"/>
      <w:bookmarkStart w:id="145" w:name="_Toc23164"/>
      <w:bookmarkStart w:id="146" w:name="_Toc19461"/>
      <w:bookmarkStart w:id="147" w:name="_Toc28547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（三）发展目标</w:t>
      </w:r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</w:p>
    <w:p w14:paraId="659552C3">
      <w:pPr>
        <w:autoSpaceDE/>
        <w:autoSpaceDN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全面迈向千亿级社零强区。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深化实施“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/>
          <w:lang w:val="en-US" w:eastAsia="zh-CN"/>
        </w:rPr>
        <w:t>千百十”工程，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批发和零售业发展质效提升，住宿和餐饮业蓬勃发展，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市场主体规模进一步扩大，集聚一批商贸领军企业、总部企业，带动全区社会消费品零售总额迈上千亿元台阶，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总消费年均增速保持5%左右。</w:t>
      </w:r>
    </w:p>
    <w:p w14:paraId="09B663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形成百亿级商圈引领格局。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/>
          <w:lang w:val="en-US" w:eastAsia="zh-CN"/>
        </w:rPr>
        <w:t>西红门荟聚百亿商圈品牌影响力提升，大兴机场枢纽商圈影响力扩大，火神庙、天宫院商圈功能品质持续提升，全区新增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/>
          <w:lang w:eastAsia="zh-CN"/>
        </w:rPr>
        <w:t>地标项目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/>
          <w:lang w:val="en-US" w:eastAsia="zh-CN"/>
        </w:rPr>
        <w:t>10个以上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/>
          <w:lang w:val="en-US" w:eastAsia="zh-CN"/>
        </w:rPr>
        <w:t>“十五五”期末全区首店、旗舰店力争达到250家以上。</w:t>
      </w:r>
    </w:p>
    <w:p w14:paraId="289C4F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lang w:eastAsia="zh-CN"/>
        </w:rPr>
        <w:t>消费发展新动能加速释放。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以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eastAsia="zh-CN"/>
        </w:rPr>
        <w:t>文商旅体展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融合、医药健康、数智绿色、文旅赛事消费为重点的“新消费”快速发展，力争培育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1-2个市级文商旅体展融合发展商圈、智慧商圈，形成一批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消费新业态新模式新场景试点、绿色消费试点项目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5E918097">
      <w:pPr>
        <w:pStyle w:val="3"/>
        <w:keepNext w:val="0"/>
        <w:keepLines w:val="0"/>
        <w:widowControl/>
        <w:suppressLineNumbers w:val="0"/>
        <w:shd w:val="clear"/>
        <w:kinsoku/>
        <w:autoSpaceDE/>
        <w:autoSpaceDN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shd w:val="clear" w:fill="FFFFFF"/>
          <w:lang w:eastAsia="zh-CN"/>
        </w:rPr>
        <w:t>国际消费枢纽功能增强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shd w:val="clear" w:fill="FFFFFF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世界荟项目建成投运，超大型国际消费枢纽、国际会展中心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/>
          <w:lang w:eastAsia="zh-CN"/>
        </w:rPr>
        <w:t>项目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加速推进，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/>
          <w:lang w:eastAsia="zh-CN"/>
        </w:rPr>
        <w:t>引育一批跨境电商平台，布局一批重大物流项目，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/>
          <w:lang w:eastAsia="zh-CN"/>
        </w:rPr>
        <w:t>空铁公海多式联运体系完善，跨境贸易规模稳步扩大，实际利用外资水平显著提升，力争“十五五”期末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累计实际利用外资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/>
          <w:lang w:eastAsia="zh-CN"/>
        </w:rPr>
        <w:t>达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8亿美元。</w:t>
      </w:r>
    </w:p>
    <w:p w14:paraId="25D496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148" w:name="_Toc26690"/>
      <w:bookmarkStart w:id="149" w:name="_Toc12168"/>
      <w:bookmarkStart w:id="150" w:name="_Toc614"/>
      <w:bookmarkStart w:id="151" w:name="_Toc12569"/>
      <w:bookmarkStart w:id="152" w:name="_Toc12576"/>
      <w:bookmarkStart w:id="153" w:name="_Toc15430"/>
      <w:bookmarkStart w:id="154" w:name="_Toc20831"/>
      <w:bookmarkStart w:id="155" w:name="_Toc21906"/>
      <w:bookmarkStart w:id="156" w:name="_Toc31181"/>
      <w:bookmarkStart w:id="157" w:name="_Toc22595"/>
      <w:bookmarkStart w:id="158" w:name="_Toc28908"/>
      <w:bookmarkStart w:id="159" w:name="_Toc23480"/>
      <w:bookmarkStart w:id="160" w:name="_Toc6188"/>
      <w:bookmarkStart w:id="161" w:name="_Toc6351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（四）总体布局</w:t>
      </w:r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</w:p>
    <w:p w14:paraId="552F6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落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实全市商业消费空间规划布局要求，围绕全区“6+5+3”产业发展格局构建，引导商业资源合理布局，打造“两核两带、八圈多点”的商业发展格局。</w:t>
      </w:r>
    </w:p>
    <w:p w14:paraId="50E4DB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“两核”引领。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加强大兴新城、大兴机场临空经济区两大新城高品质商业资源集聚，打造引领带动全区商业能级提升的“一南一北”两大核心引擎。</w:t>
      </w:r>
    </w:p>
    <w:p w14:paraId="047D57DC">
      <w:pPr>
        <w:pStyle w:val="3"/>
        <w:autoSpaceDE/>
        <w:autoSpaceDN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“</w:t>
      </w:r>
      <w:r>
        <w:rPr>
          <w:rFonts w:hint="eastAsia" w:ascii="仿宋_GB2312" w:hAnsi="仿宋_GB2312" w:cs="仿宋_GB2312"/>
          <w:b/>
          <w:bCs/>
          <w:sz w:val="32"/>
          <w:szCs w:val="32"/>
          <w:highlight w:val="none"/>
          <w:lang w:val="en-US" w:eastAsia="zh-CN"/>
        </w:rPr>
        <w:t>两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带”串联。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发挥轨道交通4号线、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南中轴延长线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纽带作用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，加强</w:t>
      </w:r>
      <w:r>
        <w:rPr>
          <w:rFonts w:hint="eastAsia" w:hAnsi="仿宋_GB2312" w:cs="仿宋_GB2312"/>
          <w:sz w:val="32"/>
          <w:szCs w:val="32"/>
          <w:highlight w:val="none"/>
          <w:lang w:val="en-US" w:eastAsia="zh-CN"/>
        </w:rPr>
        <w:t>沿线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商业、商务、会展、文博、旅游、休闲等功能布局和联动发展，打造4号线高品质商务商业发展带、南中轴文商旅</w:t>
      </w:r>
      <w:r>
        <w:rPr>
          <w:rFonts w:hint="eastAsia" w:hAnsi="仿宋_GB2312" w:cs="仿宋_GB2312"/>
          <w:sz w:val="32"/>
          <w:szCs w:val="32"/>
          <w:highlight w:val="none"/>
          <w:lang w:val="en-US" w:eastAsia="zh-CN"/>
        </w:rPr>
        <w:t>体展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特色融合发展带</w:t>
      </w:r>
      <w:r>
        <w:rPr>
          <w:rFonts w:hint="eastAsia" w:hAnsi="仿宋_GB2312" w:cs="仿宋_GB2312"/>
          <w:sz w:val="32"/>
          <w:szCs w:val="32"/>
          <w:highlight w:val="none"/>
          <w:lang w:val="en-US" w:eastAsia="zh-CN"/>
        </w:rPr>
        <w:t>。</w:t>
      </w:r>
    </w:p>
    <w:p w14:paraId="5B3DE3D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“八圈”支撑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40"/>
          <w:highlight w:val="none"/>
          <w:shd w:val="clear"/>
          <w:lang w:eastAsia="zh-CN"/>
        </w:rPr>
        <w:t>围绕“2+6”商圈布局，坚持存量提质与增量拓展并重</w:t>
      </w:r>
      <w:r>
        <w:rPr>
          <w:rFonts w:hint="eastAsia" w:hAnsi="仿宋_GB2312" w:cs="仿宋_GB2312"/>
          <w:i w:val="0"/>
          <w:iCs w:val="0"/>
          <w:caps w:val="0"/>
          <w:color w:val="000000"/>
          <w:spacing w:val="0"/>
          <w:sz w:val="32"/>
          <w:szCs w:val="40"/>
          <w:highlight w:val="none"/>
          <w:shd w:val="clear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按照主题彰显、差异推进思路，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着力打造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eastAsia="zh-CN"/>
        </w:rPr>
        <w:t>西红门</w:t>
      </w:r>
      <w:r>
        <w:rPr>
          <w:rFonts w:hint="eastAsia" w:ascii="仿宋_GB2312" w:hAnsi="仿宋_GB2312" w:cs="仿宋_GB2312"/>
          <w:sz w:val="32"/>
          <w:szCs w:val="40"/>
          <w:highlight w:val="none"/>
          <w:lang w:eastAsia="zh-CN"/>
        </w:rPr>
        <w:t>荟聚百亿级商圈，培育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eastAsia="zh-CN"/>
        </w:rPr>
        <w:t>大兴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highlight w:val="none"/>
          <w:lang w:eastAsia="zh-CN"/>
        </w:rPr>
        <w:t>机场枢纽</w:t>
      </w:r>
      <w:r>
        <w:rPr>
          <w:rFonts w:hint="eastAsia" w:ascii="仿宋_GB2312" w:hAnsi="仿宋_GB2312" w:cs="仿宋_GB2312"/>
          <w:b w:val="0"/>
          <w:bCs w:val="0"/>
          <w:sz w:val="32"/>
          <w:szCs w:val="40"/>
          <w:highlight w:val="none"/>
          <w:lang w:eastAsia="zh-CN"/>
        </w:rPr>
        <w:t>世界级商圈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highlight w:val="none"/>
          <w:lang w:eastAsia="zh-CN"/>
        </w:rPr>
        <w:t>，高水平</w:t>
      </w:r>
      <w:r>
        <w:rPr>
          <w:rFonts w:hint="eastAsia" w:ascii="仿宋_GB2312" w:hAnsi="仿宋_GB2312" w:cs="仿宋_GB2312"/>
          <w:b w:val="0"/>
          <w:bCs w:val="0"/>
          <w:sz w:val="32"/>
          <w:szCs w:val="40"/>
          <w:highlight w:val="none"/>
          <w:lang w:eastAsia="zh-CN"/>
        </w:rPr>
        <w:t>推进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highlight w:val="none"/>
          <w:lang w:eastAsia="zh-CN"/>
        </w:rPr>
        <w:t>火神庙、天宫院、</w:t>
      </w:r>
      <w:r>
        <w:rPr>
          <w:rFonts w:hint="eastAsia" w:ascii="仿宋_GB2312" w:hAnsi="仿宋_GB2312" w:cs="仿宋_GB2312"/>
          <w:b w:val="0"/>
          <w:bCs w:val="0"/>
          <w:sz w:val="32"/>
          <w:szCs w:val="40"/>
          <w:highlight w:val="none"/>
          <w:lang w:eastAsia="zh-CN"/>
        </w:rPr>
        <w:t>永定湾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highlight w:val="none"/>
          <w:lang w:eastAsia="zh-CN"/>
        </w:rPr>
        <w:t>、大兴新城站、大兴站、魏善庄6个地区活力消费圈</w:t>
      </w:r>
      <w:r>
        <w:rPr>
          <w:rFonts w:hint="eastAsia" w:ascii="仿宋_GB2312" w:hAnsi="仿宋_GB2312" w:cs="仿宋_GB2312"/>
          <w:b w:val="0"/>
          <w:bCs w:val="0"/>
          <w:sz w:val="32"/>
          <w:szCs w:val="40"/>
          <w:highlight w:val="none"/>
          <w:lang w:eastAsia="zh-CN"/>
        </w:rPr>
        <w:t>改造和规划建设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，力争成为京南高品质消费地标。</w:t>
      </w:r>
    </w:p>
    <w:p w14:paraId="5D3241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“多点”分布。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落实产城融合发展理念，围绕重点产业园区、特色小镇商业配套需求，推动一批特色商业微中心建设，完善全区商业服务网络。</w:t>
      </w:r>
    </w:p>
    <w:p w14:paraId="46966DE4">
      <w:pPr>
        <w:pStyle w:val="3"/>
        <w:autoSpaceDE/>
        <w:autoSpaceDN/>
        <w:spacing w:line="240" w:lineRule="auto"/>
        <w:ind w:firstLine="0" w:firstLineChars="0"/>
        <w:jc w:val="center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4224020" cy="3390900"/>
            <wp:effectExtent l="0" t="0" r="1270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2402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5D029">
      <w:pPr>
        <w:pStyle w:val="3"/>
        <w:spacing w:line="240" w:lineRule="auto"/>
        <w:ind w:firstLine="0" w:firstLineChars="0"/>
        <w:jc w:val="center"/>
        <w:rPr>
          <w:rFonts w:hint="eastAsia" w:ascii="黑体" w:hAnsi="黑体" w:eastAsia="黑体" w:cs="黑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highlight w:val="none"/>
          <w:lang w:val="en-US" w:eastAsia="zh-CN"/>
        </w:rPr>
        <w:t>图1  大兴区商业发展空间示意图</w:t>
      </w:r>
    </w:p>
    <w:p w14:paraId="2294C0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</w:pPr>
      <w:bookmarkStart w:id="162" w:name="_Toc9411"/>
      <w:bookmarkStart w:id="163" w:name="_Toc20590"/>
      <w:bookmarkStart w:id="164" w:name="_Toc21694"/>
      <w:bookmarkStart w:id="165" w:name="_Toc15354"/>
      <w:bookmarkStart w:id="166" w:name="_Toc18012"/>
      <w:bookmarkStart w:id="167" w:name="_Toc3797"/>
      <w:bookmarkStart w:id="168" w:name="_Toc18589"/>
      <w:bookmarkStart w:id="169" w:name="_Toc8598"/>
      <w:bookmarkStart w:id="170" w:name="_Toc667"/>
      <w:bookmarkStart w:id="171" w:name="_Toc9175"/>
      <w:bookmarkStart w:id="172" w:name="_Toc17918"/>
      <w:bookmarkStart w:id="173" w:name="_Toc3265"/>
      <w:bookmarkStart w:id="174" w:name="_Toc15076"/>
      <w:bookmarkStart w:id="175" w:name="_Toc26317"/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、打造高质量商业发展体系</w:t>
      </w:r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</w:p>
    <w:p w14:paraId="6B4EE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176" w:name="_Toc24635"/>
      <w:bookmarkStart w:id="177" w:name="_Toc11035"/>
      <w:bookmarkStart w:id="178" w:name="_Toc21217"/>
      <w:bookmarkStart w:id="179" w:name="_Toc16709"/>
      <w:bookmarkStart w:id="180" w:name="_Toc877"/>
      <w:bookmarkStart w:id="181" w:name="_Toc5451"/>
      <w:bookmarkStart w:id="182" w:name="_Toc7342"/>
      <w:bookmarkStart w:id="183" w:name="_Toc8438"/>
      <w:bookmarkStart w:id="184" w:name="_Toc8457"/>
      <w:bookmarkStart w:id="185" w:name="_Toc13810"/>
      <w:bookmarkStart w:id="186" w:name="_Toc5483"/>
      <w:bookmarkStart w:id="187" w:name="_Toc29744"/>
      <w:bookmarkStart w:id="188" w:name="_Toc15508"/>
      <w:bookmarkStart w:id="189" w:name="_Toc18607"/>
      <w:bookmarkStart w:id="190" w:name="_Toc12940"/>
      <w:bookmarkStart w:id="191" w:name="_Toc4364"/>
      <w:bookmarkStart w:id="192" w:name="_Toc12241"/>
      <w:bookmarkStart w:id="193" w:name="_Toc31271"/>
      <w:bookmarkStart w:id="194" w:name="_Toc23780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（一）培育大兴机场枢纽世界级商圈</w:t>
      </w:r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</w:p>
    <w:p w14:paraId="040D1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/>
          <w:lang w:eastAsia="zh-CN"/>
        </w:rPr>
      </w:pPr>
      <w:bookmarkStart w:id="195" w:name="_Toc14372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统筹国际会展消费片区建设，联动超大型国际消费枢纽、国际会展中心、中央公园等重大项目，推动业态功能融合，打造世界级会客厅。加快国际会展中心建设，吸引品牌展会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/>
          <w:lang w:eastAsia="zh-CN"/>
        </w:rPr>
        <w:t>落地。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推进超大型国际消费枢纽建设，打造“功能+场景+体验”深度融合的世界级商贸旅游综合体。推动礼贤站世界荟项目投入运营，完善星级酒店及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/>
          <w:lang w:eastAsia="zh-CN"/>
        </w:rPr>
        <w:t>多元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商业配套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提升航站楼及周边商业能级，引进国内外品牌首店、旗舰店与体验店，增强首发首秀活动承载能力。</w:t>
      </w:r>
    </w:p>
    <w:bookmarkEnd w:id="195"/>
    <w:p w14:paraId="56C1B1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196" w:name="_Toc4510"/>
      <w:bookmarkStart w:id="197" w:name="_Toc9310"/>
      <w:bookmarkStart w:id="198" w:name="_Toc4651"/>
      <w:bookmarkStart w:id="199" w:name="_Toc22075"/>
      <w:bookmarkStart w:id="200" w:name="_Toc27483"/>
      <w:bookmarkStart w:id="201" w:name="_Toc18540"/>
      <w:bookmarkStart w:id="202" w:name="_Toc32760"/>
      <w:bookmarkStart w:id="203" w:name="_Toc31112"/>
      <w:bookmarkStart w:id="204" w:name="_Toc21238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（二）打造西红门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荟聚</w:t>
      </w: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百亿商圈</w:t>
      </w:r>
      <w:bookmarkEnd w:id="190"/>
      <w:bookmarkEnd w:id="191"/>
      <w:bookmarkEnd w:id="192"/>
      <w:bookmarkEnd w:id="193"/>
      <w:bookmarkEnd w:id="194"/>
      <w:bookmarkEnd w:id="196"/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标杆</w:t>
      </w:r>
      <w:bookmarkEnd w:id="197"/>
      <w:bookmarkEnd w:id="198"/>
      <w:bookmarkEnd w:id="199"/>
      <w:bookmarkEnd w:id="200"/>
      <w:bookmarkEnd w:id="201"/>
      <w:bookmarkEnd w:id="202"/>
      <w:bookmarkEnd w:id="203"/>
      <w:bookmarkEnd w:id="204"/>
    </w:p>
    <w:p w14:paraId="71ED7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围绕荟聚商务科技集聚区建设，提升商圈业态能级与空间品质，打造京南百亿级商圈标杆。实施“活力西红门·产商共生场”片区公共空间更新工程，优化商圈环境。加大高能级品牌引育力度，吸引规模化、高流量的首店、旗舰店及概念店集聚。建设荟聚全球首发中心，强化新品首发、品牌发布、文化展演等功能，支持举办具有国际影响力的首秀首展活动。推动商圈与周边文体、娱乐设施联动，拓展文化演艺、体育赛事等功能，打造文商旅体展融合示范商圈。</w:t>
      </w:r>
    </w:p>
    <w:p w14:paraId="7657F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205" w:name="_Toc6307"/>
      <w:bookmarkStart w:id="206" w:name="_Toc29439"/>
      <w:bookmarkStart w:id="207" w:name="_Toc28287"/>
      <w:bookmarkStart w:id="208" w:name="_Toc23322"/>
      <w:bookmarkStart w:id="209" w:name="_Toc4019"/>
      <w:bookmarkStart w:id="210" w:name="_Toc11452"/>
      <w:bookmarkStart w:id="211" w:name="_Toc15205"/>
      <w:bookmarkStart w:id="212" w:name="_Toc24643"/>
      <w:bookmarkStart w:id="213" w:name="_Toc7844"/>
      <w:bookmarkStart w:id="214" w:name="_Toc18520"/>
      <w:bookmarkStart w:id="215" w:name="_Toc25788"/>
      <w:bookmarkStart w:id="216" w:name="_Toc1999"/>
      <w:bookmarkStart w:id="217" w:name="_Toc14880"/>
      <w:bookmarkStart w:id="218" w:name="_Toc28149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（三）推进地区级商圈特色差异发展</w:t>
      </w:r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</w:p>
    <w:p w14:paraId="32179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推进火神庙商圈业态升级，加快市场路运动健身综合体与新生活综合体项目建成运营，打造集品质商业、运动健身、休闲娱乐于一体的融合型商圈。推动龙湖大兴天街、凯德Mall改造提升，增强天宫院商圈消费辐射能级。规划建设花园城市永定湾商圈，推进金星西路站、芦城南北两站TOD配套商业项目，加快花园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T台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建设，打造京南高品质消费新地标。围绕念坛国际金融商务区打造，依托大兴站前商务办公区建设，完善品质商业配套，盘活义和庄地铁站周边存量空间，打造融合国际商务、品质商业与生态休闲功能的大兴站商圈。推进大兴新城站商圈规划实施，加快TOD商业配套建设。围绕魏善庄博物馆小镇建设，引入品牌商业综合体，推动商业、文博、旅游与生态资源联动，打造服务南部镇区的品质生活圈。</w:t>
      </w:r>
    </w:p>
    <w:p w14:paraId="1514E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219" w:name="_Toc19612"/>
      <w:bookmarkStart w:id="220" w:name="_Toc12867"/>
      <w:bookmarkStart w:id="221" w:name="_Toc18420"/>
      <w:bookmarkStart w:id="222" w:name="_Toc19297"/>
      <w:bookmarkStart w:id="223" w:name="_Toc10599"/>
      <w:bookmarkStart w:id="224" w:name="_Toc3206"/>
      <w:bookmarkStart w:id="225" w:name="_Toc11319"/>
      <w:bookmarkStart w:id="226" w:name="_Toc21910"/>
      <w:bookmarkStart w:id="227" w:name="_Toc209"/>
      <w:bookmarkStart w:id="228" w:name="_Toc166"/>
      <w:bookmarkStart w:id="229" w:name="_Toc31333"/>
      <w:bookmarkStart w:id="230" w:name="_Toc8081"/>
      <w:bookmarkStart w:id="231" w:name="_Toc19341"/>
      <w:bookmarkStart w:id="232" w:name="_Toc13949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（四）打造产业园区特色商业微中心</w:t>
      </w:r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</w:p>
    <w:p w14:paraId="39EB6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围绕“6+5+3”产业布局，深化产城融合，打造一批产业园区特色商业微中心。完善大兴生物医药基地品牌餐饮、商务休闲、运动健身、酒店会议等服务功能，优化园区发展生态。加强北京中日创新合作示范区品牌化、特色化商业配套，打造国际特色鲜明的商业微中心。加快北京数字经济示范区京南艺术中心建设，实施项目周边街道与沿线节点综合整治，塑造南城文化消费新地标。支持国际氢能示范区、北京商业航天产业基地、京南物流基地等园区，结合企业需求完善商业服务配套功能。</w:t>
      </w:r>
    </w:p>
    <w:p w14:paraId="67489F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233" w:name="_Toc8222"/>
      <w:bookmarkStart w:id="234" w:name="_Toc3461"/>
      <w:bookmarkStart w:id="235" w:name="_Toc17158"/>
      <w:bookmarkStart w:id="236" w:name="_Toc8853"/>
      <w:bookmarkStart w:id="237" w:name="_Toc17933"/>
      <w:bookmarkStart w:id="238" w:name="_Toc6282"/>
      <w:bookmarkStart w:id="239" w:name="_Toc8103"/>
      <w:bookmarkStart w:id="240" w:name="_Toc27364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（五）打造一批特色小镇商业微中心</w:t>
      </w:r>
      <w:bookmarkEnd w:id="233"/>
      <w:bookmarkEnd w:id="234"/>
      <w:bookmarkEnd w:id="235"/>
      <w:bookmarkEnd w:id="236"/>
      <w:bookmarkEnd w:id="237"/>
      <w:bookmarkEnd w:id="238"/>
      <w:bookmarkEnd w:id="239"/>
      <w:bookmarkEnd w:id="240"/>
    </w:p>
    <w:p w14:paraId="03BF77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落实全区特色小镇规划部署，支持各镇围绕特色产业培育与居民消费升级需求，完善品质化、特色化的商业服务配套。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围绕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采育数字时尚小镇打造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加快高端商业服务中心建设，吸引时尚品牌设立展示交易门店，完善品质商业配套。围绕庞各庄西瓜小镇打造，提升京南农林科技园商业服务品质，培育宠物消费、滨水夜游等新业态。围绕礼贤、榆垡空港小镇打造，加强临空服务、临空消费、航空文旅等业态培育，聚焦产业人才与居住群体的需求，完善品质化、多元化、便利化的商业服务供给。</w:t>
      </w:r>
    </w:p>
    <w:p w14:paraId="676B6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241" w:name="bookmark175"/>
      <w:bookmarkEnd w:id="241"/>
      <w:bookmarkStart w:id="242" w:name="_Toc22921"/>
      <w:bookmarkStart w:id="243" w:name="_Toc13212"/>
      <w:bookmarkStart w:id="244" w:name="_Toc30787"/>
      <w:bookmarkStart w:id="245" w:name="_Toc5724"/>
      <w:bookmarkStart w:id="246" w:name="_Toc22690"/>
      <w:bookmarkStart w:id="247" w:name="_Toc633"/>
      <w:bookmarkStart w:id="248" w:name="_Toc24401"/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（六）新增打造一批品质化商业地标</w:t>
      </w:r>
      <w:bookmarkEnd w:id="242"/>
      <w:bookmarkEnd w:id="243"/>
      <w:bookmarkEnd w:id="244"/>
      <w:bookmarkEnd w:id="245"/>
      <w:bookmarkEnd w:id="246"/>
      <w:bookmarkEnd w:id="247"/>
      <w:bookmarkEnd w:id="248"/>
    </w:p>
    <w:p w14:paraId="373E7D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深化实施商业高质量发展“千百十”工程，统筹推进商业发展与城市更新、产城融合、文商旅体展融合，积极拓展商业发展新空间。加快推进康庄路3号商业空间更新改造、兴丰街道雪花-新辰全域产商共生片区等重点项目建设，拓展消费新场景，培育新增长点。加强商业空间资源挖潜，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持老旧商业设施和疏解腾退楼宇厂房运营主体、新城开发建设主体加强与品牌运营商对接，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打造融合型、时尚型、策展型及主题式商业空间，力争形成一批商业新地标。推动国有资产商业项目升级改造，提升运营效能。</w:t>
      </w:r>
    </w:p>
    <w:p w14:paraId="4C5D3E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249" w:name="_Toc6769"/>
      <w:bookmarkStart w:id="250" w:name="_Toc1910"/>
      <w:bookmarkStart w:id="251" w:name="_Toc24443"/>
      <w:bookmarkStart w:id="252" w:name="_Toc28403"/>
      <w:bookmarkStart w:id="253" w:name="_Toc27451"/>
      <w:bookmarkStart w:id="254" w:name="_Toc19289"/>
      <w:bookmarkStart w:id="255" w:name="_Toc3766"/>
      <w:bookmarkStart w:id="256" w:name="_Toc24647"/>
      <w:bookmarkStart w:id="257" w:name="_Toc8223"/>
      <w:bookmarkStart w:id="258" w:name="_Toc619"/>
      <w:bookmarkStart w:id="259" w:name="_Toc31055"/>
      <w:bookmarkStart w:id="260" w:name="_Toc27543"/>
      <w:bookmarkStart w:id="261" w:name="_Toc22567"/>
      <w:bookmarkStart w:id="262" w:name="_Toc14397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七</w:t>
      </w: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完善</w:t>
      </w: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便捷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优质</w:t>
      </w: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的社区商业</w:t>
      </w:r>
      <w:bookmarkEnd w:id="249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体系</w:t>
      </w:r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</w:p>
    <w:p w14:paraId="4AAD2C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优化社区商业设施布局，推动既有网点标准化、适老化、适儿化和无障碍升级改造，鼓励社区嵌入式服务设施打造，支持新建社区配建一站式便民服务中心。推动社区便民业态提升，优先补齐基本保障类业态，加强老年助餐、康复护理、托育托管等“一老一小”服务供给，鼓励社区因地施策发展品质提升类业态。提升家政、物业服务水平，促进“家政+养老”“家政+育儿”“家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+物业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”“物业+生活服务”等融合模式发展。完善农村地区便民商业网点布局。</w:t>
      </w:r>
    </w:p>
    <w:p w14:paraId="3AE910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</w:pPr>
      <w:bookmarkStart w:id="263" w:name="_Toc6223"/>
      <w:bookmarkStart w:id="264" w:name="_Toc9020"/>
      <w:bookmarkStart w:id="265" w:name="_Toc19464"/>
      <w:bookmarkStart w:id="266" w:name="_Toc11817"/>
      <w:bookmarkStart w:id="267" w:name="_Toc15060"/>
      <w:bookmarkStart w:id="268" w:name="_Toc30318"/>
      <w:bookmarkStart w:id="269" w:name="_Toc1279"/>
      <w:bookmarkStart w:id="270" w:name="_Toc25438"/>
      <w:bookmarkStart w:id="271" w:name="_Toc21890"/>
      <w:bookmarkStart w:id="272" w:name="_Toc3833"/>
      <w:bookmarkStart w:id="273" w:name="_Toc12199"/>
      <w:bookmarkStart w:id="274" w:name="_Toc26284"/>
      <w:bookmarkStart w:id="275" w:name="_Toc6430"/>
      <w:bookmarkStart w:id="276" w:name="_Toc26298"/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、增强品质商业消费供给能力</w:t>
      </w:r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</w:p>
    <w:p w14:paraId="74AFA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277" w:name="_Toc23892"/>
      <w:bookmarkStart w:id="278" w:name="_Toc14771"/>
      <w:bookmarkStart w:id="279" w:name="_Toc17279"/>
      <w:bookmarkStart w:id="280" w:name="_Toc32550"/>
      <w:bookmarkStart w:id="281" w:name="_Toc17334"/>
      <w:bookmarkStart w:id="282" w:name="_Toc1724"/>
      <w:bookmarkStart w:id="283" w:name="_Toc24814"/>
      <w:bookmarkStart w:id="284" w:name="_Toc15068"/>
      <w:bookmarkStart w:id="285" w:name="_Toc20621"/>
      <w:bookmarkStart w:id="286" w:name="_Toc17085"/>
      <w:bookmarkStart w:id="287" w:name="_Toc4187"/>
      <w:bookmarkStart w:id="288" w:name="_Toc25198"/>
      <w:bookmarkStart w:id="289" w:name="_Toc17237"/>
      <w:bookmarkStart w:id="290" w:name="_Toc13708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（一）实施首店首发能级</w:t>
      </w:r>
      <w:bookmarkEnd w:id="277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提升行动</w:t>
      </w:r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</w:p>
    <w:p w14:paraId="0A6D9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支持重点商圈布局更高能级首店，吸引亚洲首店、中国（内地）首店及旗舰店落户。打造“首店+”融合体验项目，支持品牌在首店中植入艺术、科技等创新元素，探索“首店+文化艺术”“首店+生态空间”“首店+数字体验”等新模式新场景。培育“首发大兴”品牌，支持商圈举办高能级首秀、首演、首展等活动，积极参与全市全球首发节。</w:t>
      </w:r>
    </w:p>
    <w:p w14:paraId="36702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291" w:name="_Toc19716"/>
      <w:bookmarkStart w:id="292" w:name="_Toc14151"/>
      <w:bookmarkStart w:id="293" w:name="_Toc18144"/>
      <w:bookmarkStart w:id="294" w:name="_Toc15773"/>
      <w:bookmarkStart w:id="295" w:name="_Toc29454"/>
      <w:bookmarkStart w:id="296" w:name="_Toc7576"/>
      <w:bookmarkStart w:id="297" w:name="_Toc24667"/>
      <w:bookmarkStart w:id="298" w:name="_Toc24510"/>
      <w:bookmarkStart w:id="299" w:name="_Toc19850"/>
      <w:bookmarkStart w:id="300" w:name="_Toc29394"/>
      <w:bookmarkStart w:id="301" w:name="_Toc17272"/>
      <w:bookmarkStart w:id="302" w:name="_Toc20686"/>
      <w:bookmarkStart w:id="303" w:name="_Toc2594"/>
      <w:bookmarkStart w:id="304" w:name="_Toc18888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（二）实施商业品牌汇聚提升行动</w:t>
      </w:r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</w:p>
    <w:p w14:paraId="1F66B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加强全球消费品牌引进，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瞄准国际高端、轻奢、小众潮流等不同类型和层次，吸引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国际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品牌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旗舰店、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体验店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、集成店、潮牌店等聚集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。加大国内老字号及国潮品牌引入力度，支持商圈引入旗舰店、概念店，布局国潮秀场、主题展等场景，推出“国潮新品”。培育大兴本土品牌，支持企业设立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新品研发中心、新品牌孵化中心，在时尚服饰、饮料食品、医药健康等领域孵化一批新品牌、开设一批新门店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。</w:t>
      </w:r>
    </w:p>
    <w:p w14:paraId="3D47B2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305" w:name="_Toc3514"/>
      <w:bookmarkStart w:id="306" w:name="_Toc1903"/>
      <w:bookmarkStart w:id="307" w:name="_Toc13911"/>
      <w:bookmarkStart w:id="308" w:name="_Toc6860"/>
      <w:bookmarkStart w:id="309" w:name="_Toc10906"/>
      <w:bookmarkStart w:id="310" w:name="_Toc27257"/>
      <w:bookmarkStart w:id="311" w:name="_Toc13529"/>
      <w:bookmarkStart w:id="312" w:name="_Toc30526"/>
      <w:bookmarkStart w:id="313" w:name="_Toc21007"/>
      <w:bookmarkStart w:id="314" w:name="_Toc3860"/>
      <w:bookmarkStart w:id="315" w:name="_Toc23889"/>
      <w:bookmarkStart w:id="316" w:name="_Toc16660"/>
      <w:bookmarkStart w:id="317" w:name="_Toc16942"/>
      <w:bookmarkStart w:id="318" w:name="_Toc27974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（三）实施餐饮消费提振升级</w:t>
      </w:r>
      <w:bookmarkEnd w:id="305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行动</w:t>
      </w:r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</w:p>
    <w:p w14:paraId="0399D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引育高端餐饮业态，聚焦商务办公及产业人群需求，引进米其林、黑珍珠上榜餐厅及商务会所、私人定制等品质餐饮门店。支持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打造特色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美食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街区，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依托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首都医科大学新校区建设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培育打造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集特色餐饮、时尚零售、文创体验于一体的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消费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街区。提升本土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餐饮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品牌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影响力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加强大兴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名菜、名小吃、名厨、名店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培育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，鼓励本土餐饮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企业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布局主题门店、旗舰店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，做强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“凤河故乡味”传统美食品牌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。</w:t>
      </w:r>
    </w:p>
    <w:p w14:paraId="2C2073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319" w:name="_Toc5439"/>
      <w:bookmarkStart w:id="320" w:name="_Toc27402"/>
      <w:bookmarkStart w:id="321" w:name="_Toc12133"/>
      <w:bookmarkStart w:id="322" w:name="_Toc30529"/>
      <w:bookmarkStart w:id="323" w:name="_Toc29293"/>
      <w:bookmarkStart w:id="324" w:name="_Toc27097"/>
      <w:bookmarkStart w:id="325" w:name="_Toc16091"/>
      <w:bookmarkStart w:id="326" w:name="_Toc13069"/>
      <w:bookmarkStart w:id="327" w:name="_Toc27426"/>
      <w:bookmarkStart w:id="328" w:name="_Toc23737"/>
      <w:bookmarkStart w:id="329" w:name="_Toc20863"/>
      <w:bookmarkStart w:id="330" w:name="_Toc29743"/>
      <w:bookmarkStart w:id="331" w:name="_Toc28640"/>
      <w:bookmarkStart w:id="332" w:name="_Toc30132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（四）实施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入境消费功能提升行动</w:t>
      </w:r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</w:p>
    <w:p w14:paraId="3BBCB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推动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离境退税商店增量扩容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，在重点商圈、景区、文博场所、机场、酒店等区域增设退税商店，引导国货潮品、老字号店铺、文创店、特产店等成为退税商店。打造西红门入境消费友好商圈，支持申报“即买即退”商店，提升南城入境消费活力。大力发展免税经济，推动大兴机场口岸免税店提质扩容，支持增设国货精品销售专区，拓宽国产名优产品、国货潮品外销渠道。持续优化大兴机场离境退税流程，提升境外旅客消费与退税便利化水平。</w:t>
      </w:r>
    </w:p>
    <w:p w14:paraId="0B8B5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333" w:name="_Toc27782"/>
      <w:bookmarkStart w:id="334" w:name="_Toc22576"/>
      <w:bookmarkStart w:id="335" w:name="_Toc1150"/>
      <w:bookmarkStart w:id="336" w:name="_Toc30185"/>
      <w:bookmarkStart w:id="337" w:name="_Toc9080"/>
      <w:bookmarkStart w:id="338" w:name="_Toc14438"/>
      <w:bookmarkStart w:id="339" w:name="_Toc11836"/>
      <w:bookmarkStart w:id="340" w:name="_Toc7363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（五）实施大宗消费更新升级行动</w:t>
      </w:r>
      <w:bookmarkEnd w:id="333"/>
      <w:bookmarkEnd w:id="334"/>
      <w:bookmarkEnd w:id="335"/>
      <w:bookmarkEnd w:id="336"/>
      <w:bookmarkEnd w:id="337"/>
      <w:bookmarkEnd w:id="338"/>
      <w:bookmarkEnd w:id="339"/>
      <w:bookmarkEnd w:id="340"/>
    </w:p>
    <w:p w14:paraId="72962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落实消费品以旧换新政策，联动商贸主体与线上平台开展促消费活动，鼓励企业加大补贴力度。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优化住房消费新供给，优先向轨道交通站点和就业密集地区供应住宅用地，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稳步实施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城中村和危旧房改造，充分释放刚性和改善性住房需求。完善汽车消费生态，支持打造汽车营地、房车小镇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等项目，鼓励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举办汽车展销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、赛事及汽车文化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活动，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拓展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汽车金融、美容改装等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后市场消费链条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。</w:t>
      </w:r>
    </w:p>
    <w:p w14:paraId="6B326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</w:pPr>
      <w:bookmarkStart w:id="341" w:name="_Toc25019"/>
      <w:bookmarkStart w:id="342" w:name="_Toc4076"/>
      <w:bookmarkStart w:id="343" w:name="_Toc20556"/>
      <w:bookmarkStart w:id="344" w:name="_Toc8624"/>
      <w:bookmarkStart w:id="345" w:name="_Toc24004"/>
      <w:bookmarkStart w:id="346" w:name="_Toc18352"/>
      <w:bookmarkStart w:id="347" w:name="_Toc23328"/>
      <w:bookmarkStart w:id="348" w:name="_Toc2124"/>
      <w:bookmarkStart w:id="349" w:name="_Toc909"/>
      <w:bookmarkStart w:id="350" w:name="_Toc9444"/>
      <w:bookmarkStart w:id="351" w:name="_Toc6922"/>
      <w:bookmarkStart w:id="352" w:name="_Toc27236"/>
      <w:bookmarkStart w:id="353" w:name="_Toc8818"/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、拓展丰富消费新模式新场景</w:t>
      </w:r>
      <w:bookmarkEnd w:id="332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</w:p>
    <w:p w14:paraId="7F1CF5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354" w:name="_Toc20727"/>
      <w:bookmarkStart w:id="355" w:name="_Toc16885"/>
      <w:bookmarkStart w:id="356" w:name="_Toc2398"/>
      <w:bookmarkStart w:id="357" w:name="_Toc80"/>
      <w:bookmarkStart w:id="358" w:name="_Toc2482"/>
      <w:bookmarkStart w:id="359" w:name="_Toc25281"/>
      <w:bookmarkStart w:id="360" w:name="_Toc9881"/>
      <w:bookmarkStart w:id="361" w:name="_Toc7949"/>
      <w:bookmarkStart w:id="362" w:name="_Toc16000"/>
      <w:bookmarkStart w:id="363" w:name="_Toc5689"/>
      <w:bookmarkStart w:id="364" w:name="_Toc6152"/>
      <w:bookmarkStart w:id="365" w:name="_Toc1414"/>
      <w:bookmarkStart w:id="366" w:name="_Toc5247"/>
      <w:bookmarkStart w:id="367" w:name="_Toc3782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深化文商旅体展</w:t>
      </w: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融合</w:t>
      </w:r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发展</w:t>
      </w:r>
      <w:bookmarkEnd w:id="366"/>
      <w:bookmarkEnd w:id="367"/>
    </w:p>
    <w:p w14:paraId="495AED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实施“商业+”融合行动，引导品牌餐饮、连锁零售企业进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景区、公园、文体场馆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，支持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植入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特色市集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、创意快闪、非遗工坊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消费场景。丰富商圈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消费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体验，鼓励引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入文艺观演、体育观赛、艺术展览等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业态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，支持打造赛事“超现场”、特色演艺空间。扩大夜间消费供给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深化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夜宵、夜购、夜游、夜娱、夜赏等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业态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融合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培育打造更多“夜京城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”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打卡地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“夜京城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”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生活圈。发展票根经济，鼓励商圈、场馆、景区、酒店民宿等主体为持有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本地及全市文体活动、会展及航空票证的消费者提供联动优惠。</w:t>
      </w:r>
    </w:p>
    <w:p w14:paraId="372DF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368" w:name="_Toc19997"/>
      <w:bookmarkStart w:id="369" w:name="_Toc20697"/>
      <w:bookmarkStart w:id="370" w:name="_Toc17329"/>
      <w:bookmarkStart w:id="371" w:name="_Toc26360"/>
      <w:bookmarkStart w:id="372" w:name="_Toc29568"/>
      <w:bookmarkStart w:id="373" w:name="_Toc10816"/>
      <w:bookmarkStart w:id="374" w:name="_Toc5865"/>
      <w:bookmarkStart w:id="375" w:name="_Toc21754"/>
      <w:bookmarkStart w:id="376" w:name="_Toc13393"/>
      <w:bookmarkStart w:id="377" w:name="_Toc24639"/>
      <w:bookmarkStart w:id="378" w:name="_Toc13337"/>
      <w:bookmarkStart w:id="379" w:name="_Toc15547"/>
      <w:bookmarkStart w:id="380" w:name="_Toc30039"/>
      <w:bookmarkStart w:id="381" w:name="_Toc31611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（二）培育医药健康消费特色</w:t>
      </w:r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</w:p>
    <w:p w14:paraId="5108C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依托生物医药产业基地建设，支持企业加大数字医疗、干细胞与免疫治疗等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领域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新技术新产品研发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推动药食同源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产品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产业化。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依托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临空经济区国际生命健康社区建设，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吸引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三甲医院、国际医院、研究型医院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集聚，加强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精准医疗、再生医学、康复医学及健康管理等前沿项目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布局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，打造全球高端医疗旅游目的地。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促进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中医药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特色消费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高水平举办中医药文旅消费季活动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深化“中医药+文旅+商业+科技”融合路径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，擦亮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“御苑寻药・科创兴医・文旅融生”特色品牌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。</w:t>
      </w:r>
    </w:p>
    <w:p w14:paraId="76381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382" w:name="_Toc10546"/>
      <w:bookmarkStart w:id="383" w:name="_Toc6433"/>
      <w:bookmarkStart w:id="384" w:name="_Toc16794"/>
      <w:bookmarkStart w:id="385" w:name="_Toc25342"/>
      <w:bookmarkStart w:id="386" w:name="_Toc1830"/>
      <w:bookmarkStart w:id="387" w:name="_Toc20572"/>
      <w:bookmarkStart w:id="388" w:name="_Toc24450"/>
      <w:bookmarkStart w:id="389" w:name="_Toc9826"/>
      <w:bookmarkStart w:id="390" w:name="_Toc9523"/>
      <w:bookmarkStart w:id="391" w:name="_Toc20115"/>
      <w:bookmarkStart w:id="392" w:name="_Toc17194"/>
      <w:bookmarkStart w:id="393" w:name="_Toc17472"/>
      <w:bookmarkStart w:id="394" w:name="_Toc10743"/>
      <w:bookmarkStart w:id="395" w:name="_Toc1210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（三）积极发展数智绿色消费</w:t>
      </w:r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</w:p>
    <w:p w14:paraId="62DDB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深化“人工智能+消费”，推动人工智能在教育、医疗、文化、旅游、体育等服务消费领域融合应用，拓展智能体服务场景。支持市场主体在商圈、园区、文化空间等场所建设沉浸式数字消费体验场景，打造数字消费体验中心。推进商贸企业数智化转型升级，支持建设智慧商圈、智慧门店。倡导绿色消费，引导消费者购买绿色家电家装、绿色建材、新能源汽车等，推广绿色有机食品及农产品，鼓励大型商超开展绿色低碳产品促消费活动。</w:t>
      </w:r>
    </w:p>
    <w:p w14:paraId="23E3CE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396" w:name="_Toc26523"/>
      <w:bookmarkStart w:id="397" w:name="_Toc5429"/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（四）提升文旅体育消费活力</w:t>
      </w:r>
      <w:bookmarkEnd w:id="396"/>
      <w:bookmarkEnd w:id="397"/>
    </w:p>
    <w:p w14:paraId="4A859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围绕“漫步北京”“骑游北京”“漫游京郊”等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旅游线路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品牌建设，依托永定河滨水廊道、南中轴生态空间及乡村绿道，打造大兴徒步、骑行精品线路。立足产业基础与资源禀赋，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积极发展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空港文旅、工业研学、医药康养等新型旅游业态。推进大兴国际旅游度假区建设，规划布局动物主题公园、高端度假酒店、品质娱乐设施等，加快榆垡商业配套项目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建设进程。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壮大体育消费市场，支持打造沉浸式、互动式体育消费场景，持续办好“花马”、骑行大赛等品牌赛事，吸引更多高水平赛事活动落地大兴。</w:t>
      </w:r>
    </w:p>
    <w:p w14:paraId="5DEEC6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</w:pPr>
      <w:bookmarkStart w:id="398" w:name="_Toc25773"/>
      <w:bookmarkStart w:id="399" w:name="_Toc4027"/>
      <w:bookmarkStart w:id="400" w:name="_Toc4722"/>
      <w:bookmarkStart w:id="401" w:name="_Toc28257"/>
      <w:bookmarkStart w:id="402" w:name="_Toc8512"/>
      <w:bookmarkStart w:id="403" w:name="_Toc19563"/>
      <w:bookmarkStart w:id="404" w:name="_Toc3850"/>
      <w:bookmarkStart w:id="405" w:name="_Toc29481"/>
      <w:bookmarkStart w:id="406" w:name="_Toc8695"/>
      <w:bookmarkStart w:id="407" w:name="_Toc434"/>
      <w:bookmarkStart w:id="408" w:name="_Toc12471"/>
      <w:bookmarkStart w:id="409" w:name="_Toc13884"/>
      <w:bookmarkStart w:id="410" w:name="_Toc8382"/>
      <w:bookmarkStart w:id="411" w:name="_Toc30063"/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六、深层次融入双循环互促格局</w:t>
      </w:r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</w:p>
    <w:p w14:paraId="6B8E1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412" w:name="_Toc13774"/>
      <w:bookmarkStart w:id="413" w:name="_Toc25027"/>
      <w:bookmarkStart w:id="414" w:name="_Toc29585"/>
      <w:bookmarkStart w:id="415" w:name="_Toc25275"/>
      <w:bookmarkStart w:id="416" w:name="_Toc2699"/>
      <w:bookmarkStart w:id="417" w:name="_Toc30"/>
      <w:bookmarkStart w:id="418" w:name="_Toc23540"/>
      <w:bookmarkStart w:id="419" w:name="_Toc32156"/>
      <w:bookmarkStart w:id="420" w:name="_Toc23524"/>
      <w:bookmarkStart w:id="421" w:name="_Toc30736"/>
      <w:bookmarkStart w:id="422" w:name="_Toc27606"/>
      <w:bookmarkStart w:id="423" w:name="_Toc1854"/>
      <w:bookmarkStart w:id="424" w:name="_Toc27465"/>
      <w:bookmarkStart w:id="425" w:name="_Toc32273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（一）打造国际商贸流通枢纽</w:t>
      </w:r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</w:p>
    <w:p w14:paraId="111AC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"/>
        </w:rPr>
        <w:t>加强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"/>
        </w:rPr>
        <w:t>大兴机场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"/>
        </w:rPr>
        <w:t>国际客货运航空资源配置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"/>
        </w:rPr>
        <w:t>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"/>
        </w:rPr>
        <w:t>鼓励开通国际航班快线，丰富中转联运产品，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"/>
        </w:rPr>
        <w:t>打造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"/>
        </w:rPr>
        <w:t>空中丝绸之路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"/>
        </w:rPr>
        <w:t>核心枢纽。紧扣空港型国家物流枢纽建设要求，推进大兴机场综保区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"/>
        </w:rPr>
        <w:t>非保物流区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建设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加快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"/>
        </w:rPr>
        <w:t>新航城云仓、国际冷链科技产业园、华润医药智慧供应链中心等项目建设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进程，拓展“保税+”业态。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推动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九州通医药集团数字健康总部基地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建设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，增强区域医药健康供应链稳定性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加快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"/>
        </w:rPr>
        <w:t>京南物流基地转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型升级，建强京南城郊大仓，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推进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京南昌达二期、中国物流等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物流园区建设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。构建空铁公海无缝衔接的多式联运体系，提升物流网络协同效能。</w:t>
      </w:r>
    </w:p>
    <w:p w14:paraId="081DB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426" w:name="_Toc27288"/>
      <w:bookmarkStart w:id="427" w:name="_Toc2117"/>
      <w:bookmarkStart w:id="428" w:name="_Toc15844"/>
      <w:bookmarkStart w:id="429" w:name="_Toc658"/>
      <w:bookmarkStart w:id="430" w:name="_Toc6410"/>
      <w:bookmarkStart w:id="431" w:name="_Toc12515"/>
      <w:bookmarkStart w:id="432" w:name="_Toc30893"/>
      <w:bookmarkStart w:id="433" w:name="_Toc30773"/>
      <w:bookmarkStart w:id="434" w:name="_Toc17571"/>
      <w:bookmarkStart w:id="435" w:name="_Toc3866"/>
      <w:bookmarkStart w:id="436" w:name="_Toc1585"/>
      <w:bookmarkStart w:id="437" w:name="_Toc27403"/>
      <w:bookmarkStart w:id="438" w:name="_Toc30922"/>
      <w:bookmarkStart w:id="439" w:name="_Toc31114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（二）推进电子商务做大做强</w:t>
      </w:r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</w:p>
    <w:p w14:paraId="68604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依托大兴机场航空枢纽与综保区通关优势，引育跨境电商平台及供应链龙头企业，推动“新型离岸贸易+跨境电商”融合发展，建设跨境电商货物绿色通道，打造口岸功能型跨境电商产业园。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支持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商圈布局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跨境电商体验店、跨境保税生活馆等实体门店，扩大境外优质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消费品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供给。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做大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做强直播电商，支持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大兴经开区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集聚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直播电商企业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培育打造集直播、展示、销售、培训于一体的数字直播服务平台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。</w:t>
      </w:r>
    </w:p>
    <w:p w14:paraId="404693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440" w:name="_Toc11177"/>
      <w:bookmarkStart w:id="441" w:name="_Toc19875"/>
      <w:bookmarkStart w:id="442" w:name="_Toc12221"/>
      <w:bookmarkStart w:id="443" w:name="_Toc18623"/>
      <w:bookmarkStart w:id="444" w:name="_Toc6119"/>
      <w:bookmarkStart w:id="445" w:name="_Toc14995"/>
      <w:bookmarkStart w:id="446" w:name="_Toc28377"/>
      <w:bookmarkStart w:id="447" w:name="_Toc1966"/>
      <w:bookmarkStart w:id="448" w:name="_Toc12787"/>
      <w:bookmarkStart w:id="449" w:name="_Toc18741"/>
      <w:bookmarkStart w:id="450" w:name="_Toc17262"/>
      <w:bookmarkStart w:id="451" w:name="_Toc13525"/>
      <w:bookmarkStart w:id="452" w:name="_Toc12906"/>
      <w:bookmarkStart w:id="453" w:name="_Toc17704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（三）</w:t>
      </w:r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推动贸易规模稳步提升</w:t>
      </w:r>
      <w:bookmarkEnd w:id="452"/>
      <w:bookmarkEnd w:id="453"/>
    </w:p>
    <w:p w14:paraId="4F13A4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扩大出口规模，支持生物医药、未来能源等领域企业开拓国际市场，助力老字号食品拓展出口渠道。做强展贸平台，吸引国际商品展销平台在临空区布局，高水平运营国际工业品展示交易中心。加快建设国际咖啡产业园，打造集烘焙、转运、分拨与交易功能于一体的东北亚咖啡贸易枢纽。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依托自贸区通关和口岸资质优势，扩大优质消费品和高价值生鲜产品进口。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推动服务外包提质转型，支持信息技术外包，促进服务贸易创新发展。</w:t>
      </w:r>
    </w:p>
    <w:p w14:paraId="5E002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454" w:name="_Toc1895"/>
      <w:bookmarkStart w:id="455" w:name="_Toc25799"/>
      <w:bookmarkStart w:id="456" w:name="_Toc25051"/>
      <w:bookmarkStart w:id="457" w:name="_Toc17824"/>
      <w:bookmarkStart w:id="458" w:name="_Toc22599"/>
      <w:bookmarkStart w:id="459" w:name="_Toc25643"/>
      <w:bookmarkStart w:id="460" w:name="_Toc28283"/>
      <w:bookmarkStart w:id="461" w:name="_Toc6218"/>
      <w:bookmarkStart w:id="462" w:name="_Toc7403"/>
      <w:bookmarkStart w:id="463" w:name="_Toc1558"/>
      <w:bookmarkStart w:id="464" w:name="_Toc9122"/>
      <w:bookmarkStart w:id="465" w:name="_Toc9835"/>
      <w:bookmarkStart w:id="466" w:name="_Toc17951"/>
      <w:bookmarkStart w:id="467" w:name="_Toc19901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（四）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促进重点领域开放协同</w:t>
      </w:r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</w:p>
    <w:p w14:paraId="1016B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深化服务业扩大开放，加大消费领域外资项目招引力度。提升数字经济企业出海服务基地能级，助力企业拓展国际市场。推动跨境数据安全有序流动，推进数据合规港和国际数据口岸建设，打造“数据产业+合规平台+跨境服务”三位一体的“北港南岸”大兴模式。深化京津冀协同联动，积极参与“京津冀消费季”活动，支持商圈、景区与津冀联合推出优惠联票，实现客源互引。加强产业协同示范区建设，深化与亦庄新城商贸业联动，激发区域消费活力。</w:t>
      </w:r>
    </w:p>
    <w:p w14:paraId="18585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468" w:name="_Toc7523"/>
      <w:bookmarkStart w:id="469" w:name="_Toc30495"/>
      <w:bookmarkStart w:id="470" w:name="_Toc2337"/>
      <w:bookmarkStart w:id="471" w:name="_Toc13449"/>
      <w:bookmarkStart w:id="472" w:name="_Toc15575"/>
      <w:bookmarkStart w:id="473" w:name="_Toc29573"/>
      <w:bookmarkStart w:id="474" w:name="_Toc7527"/>
      <w:bookmarkStart w:id="475" w:name="_Toc1808"/>
      <w:bookmarkStart w:id="476" w:name="_Toc25758"/>
      <w:bookmarkStart w:id="477" w:name="_Toc8397"/>
      <w:bookmarkStart w:id="478" w:name="_Toc7352"/>
      <w:bookmarkStart w:id="479" w:name="_Toc28145"/>
      <w:bookmarkStart w:id="480" w:name="_Toc29099"/>
      <w:bookmarkStart w:id="481" w:name="_Toc28161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（五）加强高能级商贸主体引育</w:t>
      </w:r>
      <w:bookmarkEnd w:id="468"/>
    </w:p>
    <w:p w14:paraId="4D84D4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精准实施靶向招商，重点引进大宗商品、医药器械、新能源汽车领域龙头贸易企业、品牌总经销（总代理），集聚一批知名商业运营主体、电商平台与连锁品牌。大力招引总部型商贸企业，吸引区域总部及销售、结算、运营等功能性总部落地。培优本土商贸服务企业，支持骨干企业通过并购重组、上市等途径做大做强，推进“个转企、小升规”。鼓励制造企业产销分离，设立独立法人销售主体。</w:t>
      </w:r>
    </w:p>
    <w:p w14:paraId="4882A6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</w:pPr>
      <w:bookmarkStart w:id="482" w:name="_Toc12964"/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七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、营造国际一流消费体验环境</w:t>
      </w:r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</w:p>
    <w:bookmarkEnd w:id="90"/>
    <w:bookmarkEnd w:id="91"/>
    <w:p w14:paraId="73670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483" w:name="_Toc3076"/>
      <w:bookmarkStart w:id="484" w:name="_Toc25061"/>
      <w:bookmarkStart w:id="485" w:name="_Toc6489"/>
      <w:bookmarkStart w:id="486" w:name="_Toc1524"/>
      <w:bookmarkStart w:id="487" w:name="_Toc28134"/>
      <w:bookmarkStart w:id="488" w:name="_Toc27285"/>
      <w:bookmarkStart w:id="489" w:name="_Toc18638"/>
      <w:bookmarkStart w:id="490" w:name="_Toc3127"/>
      <w:bookmarkStart w:id="491" w:name="_Toc5929"/>
      <w:bookmarkStart w:id="492" w:name="_Toc1852"/>
      <w:bookmarkStart w:id="493" w:name="_Toc15255"/>
      <w:bookmarkStart w:id="494" w:name="_Toc8404"/>
      <w:bookmarkStart w:id="495" w:name="_Toc6935"/>
      <w:bookmarkStart w:id="496" w:name="_Toc21344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（一）活跃地区消费氛围</w:t>
      </w:r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</w:p>
    <w:p w14:paraId="4C3CC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依托“北京消费季”平台，聚焦“礼享大兴”主题，强化政企联动与消费券撬动，策划举办多元促消费活动。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鼓励商圈引入文化、艺术、科普、健康、家居生活等领域主题活动，支持培育打造商圈自有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IP活动品牌。加强与国外商协会等对接，策划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举办国际化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主题消费活动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支持具备条件的商圈、景区、公园等承接举办市级嘉年华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及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节庆活动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。</w:t>
      </w:r>
    </w:p>
    <w:p w14:paraId="27F06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497" w:name="_Toc25003"/>
      <w:bookmarkStart w:id="498" w:name="_Toc12731"/>
      <w:bookmarkStart w:id="499" w:name="_Toc16707"/>
      <w:bookmarkStart w:id="500" w:name="_Toc5640"/>
      <w:bookmarkStart w:id="501" w:name="_Toc19992"/>
      <w:bookmarkStart w:id="502" w:name="_Toc12303"/>
      <w:bookmarkStart w:id="503" w:name="_Toc6092"/>
      <w:bookmarkStart w:id="504" w:name="_Toc15956"/>
      <w:bookmarkStart w:id="505" w:name="_Toc24316"/>
      <w:bookmarkStart w:id="506" w:name="_Toc22459"/>
      <w:bookmarkStart w:id="507" w:name="_Toc7876"/>
      <w:bookmarkStart w:id="508" w:name="_Toc17628"/>
      <w:bookmarkStart w:id="509" w:name="_Toc19694"/>
      <w:bookmarkStart w:id="510" w:name="_Toc10867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（二）优化消费体验环境</w:t>
      </w:r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</w:p>
    <w:p w14:paraId="6C7600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提升国际化服务品质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，完善商圈、景区、酒店、机场等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重点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场所多语种标识导览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及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外卡POS机配置，用好“北京服务”机场服务点。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鼓励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商圈配置人工智能多语种翻译设备，提升重点餐饮企业双语菜单覆盖率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。完善夜间公共交通，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优化重点商圈周边分时段分区域停车管理及收费标准，规范共享单车投放。推进诚信商圈建设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建立商户信用档案，推行“信用二维码”一码查询，营造放心消费环境。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畅通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消费者维权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渠道，建立健全消费纠纷快速处理和消费维权联动机制。</w:t>
      </w:r>
    </w:p>
    <w:p w14:paraId="2FA6C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511" w:name="_Toc24172"/>
      <w:bookmarkStart w:id="512" w:name="_Toc6599"/>
      <w:bookmarkStart w:id="513" w:name="_Toc28736"/>
      <w:bookmarkStart w:id="514" w:name="_Toc20822"/>
      <w:bookmarkStart w:id="515" w:name="_Toc10459"/>
      <w:bookmarkStart w:id="516" w:name="_Toc6590"/>
      <w:bookmarkStart w:id="517" w:name="_Toc29280"/>
      <w:bookmarkStart w:id="518" w:name="_Toc5276"/>
      <w:bookmarkStart w:id="519" w:name="_Toc6466"/>
      <w:bookmarkStart w:id="520" w:name="_Toc2303"/>
      <w:bookmarkStart w:id="521" w:name="_Toc18933"/>
      <w:bookmarkStart w:id="522" w:name="_Toc1492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（三）营造良好营商环境</w:t>
      </w:r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</w:p>
    <w:p w14:paraId="26F8E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加强食品安全全链条监管，强化预付式消费经营行为监管，推动生产经营单位落实安全生产主体责任。创新消费领域监管执法方式，对消费新业态新模式实施包容审慎监管，强化守信激励运用，最大限度实现“无事不扰”。深化“放管服”改革，探索更多消费场景高频事项“一件事、一次办”。贯彻全国统一大市场部署，综合整治“内卷式”竞争，维护公平有序市场秩序。</w:t>
      </w:r>
    </w:p>
    <w:p w14:paraId="77E998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</w:pPr>
      <w:bookmarkStart w:id="523" w:name="_Toc25456"/>
      <w:bookmarkStart w:id="524" w:name="_Toc25696"/>
      <w:bookmarkStart w:id="525" w:name="_Toc22168"/>
      <w:bookmarkStart w:id="526" w:name="_Toc13174"/>
      <w:bookmarkStart w:id="527" w:name="_Toc29733"/>
      <w:bookmarkStart w:id="528" w:name="_Toc2459"/>
      <w:bookmarkStart w:id="529" w:name="_Toc4814"/>
      <w:bookmarkStart w:id="530" w:name="_Toc31678"/>
      <w:bookmarkStart w:id="531" w:name="_Toc17285"/>
      <w:bookmarkStart w:id="532" w:name="_Toc2633"/>
      <w:bookmarkStart w:id="533" w:name="_Toc32703"/>
      <w:bookmarkStart w:id="534" w:name="_Toc32189"/>
      <w:bookmarkStart w:id="535" w:name="_Toc29595"/>
      <w:bookmarkStart w:id="536" w:name="_Toc19323"/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八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、规划实施保障</w:t>
      </w:r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</w:p>
    <w:p w14:paraId="7FF2E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537" w:name="_Toc3231"/>
      <w:bookmarkStart w:id="538" w:name="_Toc32180"/>
      <w:bookmarkStart w:id="539" w:name="_Toc10095"/>
      <w:bookmarkStart w:id="540" w:name="_Toc16011"/>
      <w:bookmarkStart w:id="541" w:name="_Toc1034"/>
      <w:bookmarkStart w:id="542" w:name="_Toc26627"/>
      <w:bookmarkStart w:id="543" w:name="_Toc29269"/>
      <w:bookmarkStart w:id="544" w:name="_Toc2697"/>
      <w:bookmarkStart w:id="545" w:name="_Toc21452"/>
      <w:bookmarkStart w:id="546" w:name="_Toc18603"/>
      <w:bookmarkStart w:id="547" w:name="_Toc1114"/>
      <w:bookmarkStart w:id="548" w:name="_Toc10641"/>
      <w:bookmarkStart w:id="549" w:name="_Toc5736"/>
      <w:bookmarkStart w:id="550" w:name="_Toc28340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（一）加强组织领导</w:t>
      </w:r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</w:p>
    <w:p w14:paraId="4DD45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依托大兴区“两区”建设工作领导小组工作机制，由区领导统筹调度，定期召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规划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专题工作会议，协调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解决规划实施中难点堵点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问题。压实规划实施主体责任，明确部门责任分工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保障规划精准落地、取得实效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。</w:t>
      </w:r>
    </w:p>
    <w:p w14:paraId="7936C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551" w:name="_Toc31321"/>
      <w:bookmarkStart w:id="552" w:name="_Toc15986"/>
      <w:bookmarkStart w:id="553" w:name="_Toc17149"/>
      <w:bookmarkStart w:id="554" w:name="_Toc11019"/>
      <w:bookmarkStart w:id="555" w:name="_Toc21843"/>
      <w:bookmarkStart w:id="556" w:name="_Toc15892"/>
      <w:bookmarkStart w:id="557" w:name="_Toc26359"/>
      <w:bookmarkStart w:id="558" w:name="_Toc3460"/>
      <w:bookmarkStart w:id="559" w:name="_Toc8268"/>
      <w:bookmarkStart w:id="560" w:name="_Toc32243"/>
      <w:bookmarkStart w:id="561" w:name="_Toc12024"/>
      <w:bookmarkStart w:id="562" w:name="_Toc22929"/>
      <w:bookmarkStart w:id="563" w:name="_Toc13366"/>
      <w:bookmarkStart w:id="564" w:name="_Toc26459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（二）加强政策</w:t>
      </w:r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支持</w:t>
      </w:r>
      <w:bookmarkEnd w:id="561"/>
      <w:bookmarkEnd w:id="562"/>
      <w:bookmarkEnd w:id="563"/>
      <w:bookmarkEnd w:id="564"/>
    </w:p>
    <w:p w14:paraId="517F1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贯彻国家“两重”“两新”部署，推动商业设施设备更新及消费品以旧换新。用好商贸流通、消费新业态新模式新场景、国际化环境等领域支持政策，完善区级配套措施。鼓励驻区金融机构创新消费金融产品，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加大信贷支持力度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。</w:t>
      </w:r>
    </w:p>
    <w:p w14:paraId="182D8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565" w:name="_Toc13495"/>
      <w:bookmarkStart w:id="566" w:name="_Toc6727"/>
      <w:bookmarkStart w:id="567" w:name="_Toc1340"/>
      <w:bookmarkStart w:id="568" w:name="_Toc18349"/>
      <w:bookmarkStart w:id="569" w:name="_Toc16402"/>
      <w:bookmarkStart w:id="570" w:name="_Toc13669"/>
      <w:bookmarkStart w:id="571" w:name="_Toc10136"/>
      <w:bookmarkStart w:id="572" w:name="_Toc8866"/>
      <w:bookmarkStart w:id="573" w:name="_Toc29621"/>
      <w:bookmarkStart w:id="574" w:name="_Toc23767"/>
      <w:bookmarkStart w:id="575" w:name="_Toc28118"/>
      <w:bookmarkStart w:id="576" w:name="_Toc14318"/>
      <w:bookmarkStart w:id="577" w:name="_Toc16064"/>
      <w:bookmarkStart w:id="578" w:name="_Toc24313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）加强监测评估</w:t>
      </w:r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</w:p>
    <w:p w14:paraId="67A66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完善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适应新经济形态、新消费业态发展的统计监测体系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加强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消费市场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运行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情况监测分析，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定期发布监测分析报告。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完善规划实施监督机制。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规范开展中期评估和终期评价，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  <w:t>强化评估结果运用，确保规划落地见效。</w:t>
      </w:r>
    </w:p>
    <w:p w14:paraId="142ED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bookmarkStart w:id="579" w:name="_Toc31517"/>
      <w:bookmarkStart w:id="580" w:name="_Toc15525"/>
      <w:bookmarkStart w:id="581" w:name="_Toc16087"/>
      <w:bookmarkStart w:id="582" w:name="_Toc20104"/>
      <w:bookmarkStart w:id="583" w:name="_Toc14079"/>
      <w:bookmarkStart w:id="584" w:name="_Toc27048"/>
      <w:bookmarkStart w:id="585" w:name="_Toc16243"/>
      <w:bookmarkStart w:id="586" w:name="_Toc10942"/>
      <w:bookmarkStart w:id="587" w:name="_Toc23631"/>
      <w:bookmarkStart w:id="588" w:name="_Toc15448"/>
      <w:bookmarkStart w:id="589" w:name="_Toc25258"/>
      <w:bookmarkStart w:id="590" w:name="_Toc31724"/>
      <w:bookmarkStart w:id="591" w:name="_Toc15327"/>
      <w:bookmarkStart w:id="592" w:name="_Toc28898"/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）加强宣传推介</w:t>
      </w:r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</w:p>
    <w:p w14:paraId="1C5574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  <w:t>搭建全媒体宣传矩阵，联动国家和市级宣传平台、主流媒体与区级融媒体中心凝聚传播合力。围绕商圈提质、消费创新、促消费活动、首发首秀等开展专题宣传。借助新闻发布、招商推介、行业展会等活动平台推介大兴国际消费中心城市建设成效。</w:t>
      </w:r>
    </w:p>
    <w:p w14:paraId="76676822">
      <w:pPr>
        <w:pStyle w:val="2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eastAsia="zh-CN"/>
        </w:rPr>
      </w:pPr>
    </w:p>
    <w:p w14:paraId="13BBB057">
      <w:pPr>
        <w:pStyle w:val="3"/>
        <w:ind w:firstLine="1600" w:firstLineChars="500"/>
        <w:rPr>
          <w:rFonts w:hint="default" w:hAnsi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auto"/>
          <w:lang w:val="en-US" w:eastAsia="zh-CN"/>
        </w:rPr>
      </w:pPr>
    </w:p>
    <w:sectPr>
      <w:footerReference r:id="rId8" w:type="default"/>
      <w:pgSz w:w="11906" w:h="16838"/>
      <w:pgMar w:top="1440" w:right="1803" w:bottom="1440" w:left="1803" w:header="851" w:footer="992" w:gutter="0"/>
      <w:pgNumType w:fmt="numberInDash" w:start="1"/>
      <w:cols w:space="0" w:num="1"/>
      <w:rtlGutter w:val="0"/>
      <w:docGrid w:type="lines" w:linePitch="31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161A11">
    <w:pPr>
      <w:pStyle w:val="1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6E1D81">
    <w:pPr>
      <w:pStyle w:val="14"/>
      <w:tabs>
        <w:tab w:val="left" w:pos="1042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AA2D5A">
                          <w:pPr>
                            <w:pStyle w:val="1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AA2D5A">
                    <w:pPr>
                      <w:pStyle w:val="1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宋体"/>
        <w:lang w:eastAsia="zh-CN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F9204">
    <w:pPr>
      <w:pStyle w:val="14"/>
      <w:tabs>
        <w:tab w:val="left" w:pos="1042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9FD6E8">
                          <w:pPr>
                            <w:pStyle w:val="14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9FD6E8">
                    <w:pPr>
                      <w:pStyle w:val="14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宋体"/>
        <w:lang w:eastAsia="zh-CN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3D774">
    <w:pPr>
      <w:widowControl w:val="0"/>
      <w:kinsoku/>
      <w:autoSpaceDE/>
      <w:autoSpaceDN/>
      <w:adjustRightInd/>
      <w:snapToGrid/>
      <w:spacing w:before="120" w:beforeLines="50" w:line="640" w:lineRule="exact"/>
      <w:jc w:val="center"/>
      <w:textAlignment w:val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4NGM2OTU0NjFmNjMzZTk4MDc1ZGY1Y2ZkZWE1ODQifQ=="/>
  </w:docVars>
  <w:rsids>
    <w:rsidRoot w:val="00000000"/>
    <w:rsid w:val="0002561E"/>
    <w:rsid w:val="00052A18"/>
    <w:rsid w:val="00072C34"/>
    <w:rsid w:val="00175643"/>
    <w:rsid w:val="001B223C"/>
    <w:rsid w:val="001F1D2C"/>
    <w:rsid w:val="00203E79"/>
    <w:rsid w:val="00292BAB"/>
    <w:rsid w:val="004D6899"/>
    <w:rsid w:val="004E2611"/>
    <w:rsid w:val="005127D5"/>
    <w:rsid w:val="00535E7A"/>
    <w:rsid w:val="00537C28"/>
    <w:rsid w:val="00600D2E"/>
    <w:rsid w:val="00615EA1"/>
    <w:rsid w:val="00643BE3"/>
    <w:rsid w:val="006B4F71"/>
    <w:rsid w:val="007A3406"/>
    <w:rsid w:val="008322BB"/>
    <w:rsid w:val="008D138C"/>
    <w:rsid w:val="00A97848"/>
    <w:rsid w:val="00B92181"/>
    <w:rsid w:val="00C116A3"/>
    <w:rsid w:val="00D743B5"/>
    <w:rsid w:val="00DA3EA5"/>
    <w:rsid w:val="00DC5E6F"/>
    <w:rsid w:val="00E6284A"/>
    <w:rsid w:val="01057174"/>
    <w:rsid w:val="01233A9E"/>
    <w:rsid w:val="012B348C"/>
    <w:rsid w:val="01415CD2"/>
    <w:rsid w:val="01431A4A"/>
    <w:rsid w:val="014557C2"/>
    <w:rsid w:val="015B4FE6"/>
    <w:rsid w:val="01611D06"/>
    <w:rsid w:val="01612479"/>
    <w:rsid w:val="01797DA6"/>
    <w:rsid w:val="019127B6"/>
    <w:rsid w:val="019B53E2"/>
    <w:rsid w:val="01A71CC5"/>
    <w:rsid w:val="01AB2E8D"/>
    <w:rsid w:val="01BD7A4F"/>
    <w:rsid w:val="01D134FA"/>
    <w:rsid w:val="01D26DCC"/>
    <w:rsid w:val="01DE1773"/>
    <w:rsid w:val="01E179DA"/>
    <w:rsid w:val="01F571E8"/>
    <w:rsid w:val="01FD609D"/>
    <w:rsid w:val="02184C85"/>
    <w:rsid w:val="021F6013"/>
    <w:rsid w:val="022C24DE"/>
    <w:rsid w:val="02445A7A"/>
    <w:rsid w:val="024535A0"/>
    <w:rsid w:val="02467A44"/>
    <w:rsid w:val="02510197"/>
    <w:rsid w:val="0251447D"/>
    <w:rsid w:val="02571C51"/>
    <w:rsid w:val="025A529E"/>
    <w:rsid w:val="026003DA"/>
    <w:rsid w:val="026A3D36"/>
    <w:rsid w:val="02796C38"/>
    <w:rsid w:val="02810A7C"/>
    <w:rsid w:val="0284056C"/>
    <w:rsid w:val="028B5457"/>
    <w:rsid w:val="028C11CF"/>
    <w:rsid w:val="02A227A1"/>
    <w:rsid w:val="02A604E3"/>
    <w:rsid w:val="02B726F0"/>
    <w:rsid w:val="02BA21E0"/>
    <w:rsid w:val="02BA3F8E"/>
    <w:rsid w:val="02BD5916"/>
    <w:rsid w:val="02C46BBB"/>
    <w:rsid w:val="02D037B2"/>
    <w:rsid w:val="02D0730E"/>
    <w:rsid w:val="02D768EE"/>
    <w:rsid w:val="02DA63DE"/>
    <w:rsid w:val="02FB6CDA"/>
    <w:rsid w:val="03092820"/>
    <w:rsid w:val="030A6CC4"/>
    <w:rsid w:val="031C07A5"/>
    <w:rsid w:val="031F5D36"/>
    <w:rsid w:val="032338E1"/>
    <w:rsid w:val="03245297"/>
    <w:rsid w:val="0328714A"/>
    <w:rsid w:val="032921CA"/>
    <w:rsid w:val="032A1043"/>
    <w:rsid w:val="032A2EC2"/>
    <w:rsid w:val="032E24D1"/>
    <w:rsid w:val="03300C0C"/>
    <w:rsid w:val="03351867"/>
    <w:rsid w:val="0337738D"/>
    <w:rsid w:val="033A0C2B"/>
    <w:rsid w:val="033B50CF"/>
    <w:rsid w:val="034071B4"/>
    <w:rsid w:val="03451FF2"/>
    <w:rsid w:val="034A5F18"/>
    <w:rsid w:val="034D095E"/>
    <w:rsid w:val="035E2B6B"/>
    <w:rsid w:val="038B1487"/>
    <w:rsid w:val="039F4F2F"/>
    <w:rsid w:val="03A32C74"/>
    <w:rsid w:val="03A5457E"/>
    <w:rsid w:val="03A82039"/>
    <w:rsid w:val="03AB23AB"/>
    <w:rsid w:val="03AD27A9"/>
    <w:rsid w:val="03AD58A1"/>
    <w:rsid w:val="03AD5C2E"/>
    <w:rsid w:val="03BD3D36"/>
    <w:rsid w:val="03C2759E"/>
    <w:rsid w:val="03CE4985"/>
    <w:rsid w:val="03D92862"/>
    <w:rsid w:val="03DB2F3E"/>
    <w:rsid w:val="03E07A24"/>
    <w:rsid w:val="03F37758"/>
    <w:rsid w:val="03F80CEA"/>
    <w:rsid w:val="040B094E"/>
    <w:rsid w:val="040F3E66"/>
    <w:rsid w:val="04115E30"/>
    <w:rsid w:val="041476CE"/>
    <w:rsid w:val="04212517"/>
    <w:rsid w:val="042B5143"/>
    <w:rsid w:val="042C4A18"/>
    <w:rsid w:val="043C27A5"/>
    <w:rsid w:val="04545D1C"/>
    <w:rsid w:val="04567CE7"/>
    <w:rsid w:val="045D2E23"/>
    <w:rsid w:val="045D72C7"/>
    <w:rsid w:val="046046C1"/>
    <w:rsid w:val="047A39D5"/>
    <w:rsid w:val="047F723D"/>
    <w:rsid w:val="04814D63"/>
    <w:rsid w:val="04877EA0"/>
    <w:rsid w:val="048E13C2"/>
    <w:rsid w:val="048E56D2"/>
    <w:rsid w:val="04A3117E"/>
    <w:rsid w:val="04A722F0"/>
    <w:rsid w:val="04B844FD"/>
    <w:rsid w:val="04C410F4"/>
    <w:rsid w:val="04CE3D21"/>
    <w:rsid w:val="04D330E5"/>
    <w:rsid w:val="04DB7149"/>
    <w:rsid w:val="04E839ED"/>
    <w:rsid w:val="04E86B91"/>
    <w:rsid w:val="04E90B5B"/>
    <w:rsid w:val="04ED064B"/>
    <w:rsid w:val="04EE67DF"/>
    <w:rsid w:val="04F04EBA"/>
    <w:rsid w:val="04F30983"/>
    <w:rsid w:val="04F419D9"/>
    <w:rsid w:val="04FD4606"/>
    <w:rsid w:val="050B287F"/>
    <w:rsid w:val="050D65F7"/>
    <w:rsid w:val="05121E5F"/>
    <w:rsid w:val="051639F4"/>
    <w:rsid w:val="051C683A"/>
    <w:rsid w:val="05322502"/>
    <w:rsid w:val="05351E6A"/>
    <w:rsid w:val="05357EFC"/>
    <w:rsid w:val="053A4F12"/>
    <w:rsid w:val="05445D91"/>
    <w:rsid w:val="05500BDA"/>
    <w:rsid w:val="055F2BCB"/>
    <w:rsid w:val="057448C8"/>
    <w:rsid w:val="058D6A20"/>
    <w:rsid w:val="059D3E1F"/>
    <w:rsid w:val="05A312E2"/>
    <w:rsid w:val="05A75A44"/>
    <w:rsid w:val="05A827C4"/>
    <w:rsid w:val="05AF5BC9"/>
    <w:rsid w:val="05B41169"/>
    <w:rsid w:val="05B60FB7"/>
    <w:rsid w:val="05CB200E"/>
    <w:rsid w:val="05D435B9"/>
    <w:rsid w:val="05DD0F2E"/>
    <w:rsid w:val="05DE60F3"/>
    <w:rsid w:val="05E23036"/>
    <w:rsid w:val="05EE0147"/>
    <w:rsid w:val="05F132AE"/>
    <w:rsid w:val="05FD2B10"/>
    <w:rsid w:val="06093262"/>
    <w:rsid w:val="060C68AF"/>
    <w:rsid w:val="0645669E"/>
    <w:rsid w:val="06591624"/>
    <w:rsid w:val="065B3392"/>
    <w:rsid w:val="066171E6"/>
    <w:rsid w:val="06654211"/>
    <w:rsid w:val="06676BF5"/>
    <w:rsid w:val="066F6E3E"/>
    <w:rsid w:val="067A5F0E"/>
    <w:rsid w:val="06A42F8B"/>
    <w:rsid w:val="06AB60C8"/>
    <w:rsid w:val="06AC0092"/>
    <w:rsid w:val="06C90C44"/>
    <w:rsid w:val="06D15700"/>
    <w:rsid w:val="06DF0467"/>
    <w:rsid w:val="06DF19CF"/>
    <w:rsid w:val="06E67100"/>
    <w:rsid w:val="06E93094"/>
    <w:rsid w:val="070B125C"/>
    <w:rsid w:val="072365A6"/>
    <w:rsid w:val="072E0AA7"/>
    <w:rsid w:val="073836D3"/>
    <w:rsid w:val="07394F3A"/>
    <w:rsid w:val="0744651C"/>
    <w:rsid w:val="075504B4"/>
    <w:rsid w:val="07594F89"/>
    <w:rsid w:val="07645BB6"/>
    <w:rsid w:val="07647500"/>
    <w:rsid w:val="0768045D"/>
    <w:rsid w:val="07746E01"/>
    <w:rsid w:val="077E2A57"/>
    <w:rsid w:val="0781151E"/>
    <w:rsid w:val="07941252"/>
    <w:rsid w:val="07945AF1"/>
    <w:rsid w:val="079F1D41"/>
    <w:rsid w:val="07A11279"/>
    <w:rsid w:val="07A62D33"/>
    <w:rsid w:val="07A65D25"/>
    <w:rsid w:val="07B76CEE"/>
    <w:rsid w:val="07BC60B3"/>
    <w:rsid w:val="07BE1E2B"/>
    <w:rsid w:val="07C03DF5"/>
    <w:rsid w:val="07C14A2C"/>
    <w:rsid w:val="07C74045"/>
    <w:rsid w:val="07E13D6B"/>
    <w:rsid w:val="07E15B19"/>
    <w:rsid w:val="07EC2E3C"/>
    <w:rsid w:val="07FE66CB"/>
    <w:rsid w:val="07FF2833"/>
    <w:rsid w:val="08061630"/>
    <w:rsid w:val="08226DE9"/>
    <w:rsid w:val="082C4FE6"/>
    <w:rsid w:val="083251D0"/>
    <w:rsid w:val="08344B06"/>
    <w:rsid w:val="08355089"/>
    <w:rsid w:val="083E11BD"/>
    <w:rsid w:val="084560A8"/>
    <w:rsid w:val="08487799"/>
    <w:rsid w:val="084A4CB3"/>
    <w:rsid w:val="084B0ACA"/>
    <w:rsid w:val="084F33CB"/>
    <w:rsid w:val="085B58CB"/>
    <w:rsid w:val="08674270"/>
    <w:rsid w:val="08687EED"/>
    <w:rsid w:val="0869623A"/>
    <w:rsid w:val="08711187"/>
    <w:rsid w:val="087C35F9"/>
    <w:rsid w:val="08C5098D"/>
    <w:rsid w:val="08D00067"/>
    <w:rsid w:val="08E91129"/>
    <w:rsid w:val="08F24482"/>
    <w:rsid w:val="08F55D20"/>
    <w:rsid w:val="09102B5A"/>
    <w:rsid w:val="09167A44"/>
    <w:rsid w:val="091D7025"/>
    <w:rsid w:val="091F4B4B"/>
    <w:rsid w:val="093920B1"/>
    <w:rsid w:val="093C394F"/>
    <w:rsid w:val="093C56FD"/>
    <w:rsid w:val="093E11C1"/>
    <w:rsid w:val="093F51ED"/>
    <w:rsid w:val="09436C00"/>
    <w:rsid w:val="094B475C"/>
    <w:rsid w:val="09585A8B"/>
    <w:rsid w:val="095E133B"/>
    <w:rsid w:val="095E1B17"/>
    <w:rsid w:val="09606B8F"/>
    <w:rsid w:val="09607C4B"/>
    <w:rsid w:val="096D1D5A"/>
    <w:rsid w:val="096F6529"/>
    <w:rsid w:val="097E7AC3"/>
    <w:rsid w:val="098A2126"/>
    <w:rsid w:val="098D41AA"/>
    <w:rsid w:val="099151DB"/>
    <w:rsid w:val="0998028D"/>
    <w:rsid w:val="099A2423"/>
    <w:rsid w:val="099C6241"/>
    <w:rsid w:val="099F787D"/>
    <w:rsid w:val="09B434E5"/>
    <w:rsid w:val="09BF1E8A"/>
    <w:rsid w:val="09C83435"/>
    <w:rsid w:val="09CB082F"/>
    <w:rsid w:val="09E57B43"/>
    <w:rsid w:val="09ED69F7"/>
    <w:rsid w:val="09F00295"/>
    <w:rsid w:val="09F81361"/>
    <w:rsid w:val="09FA7528"/>
    <w:rsid w:val="09FC54FF"/>
    <w:rsid w:val="0A002BCE"/>
    <w:rsid w:val="0A03621B"/>
    <w:rsid w:val="0A1977EC"/>
    <w:rsid w:val="0A1E3055"/>
    <w:rsid w:val="0A27015B"/>
    <w:rsid w:val="0A2711E1"/>
    <w:rsid w:val="0A2D5046"/>
    <w:rsid w:val="0A3208AE"/>
    <w:rsid w:val="0A553EF3"/>
    <w:rsid w:val="0A5627EE"/>
    <w:rsid w:val="0A621193"/>
    <w:rsid w:val="0A6A0048"/>
    <w:rsid w:val="0A7333A0"/>
    <w:rsid w:val="0A7809B7"/>
    <w:rsid w:val="0A911A78"/>
    <w:rsid w:val="0A9F4195"/>
    <w:rsid w:val="0AA23C86"/>
    <w:rsid w:val="0AB53DB2"/>
    <w:rsid w:val="0AB6328D"/>
    <w:rsid w:val="0AB73127"/>
    <w:rsid w:val="0AC34F82"/>
    <w:rsid w:val="0ACA0AE6"/>
    <w:rsid w:val="0ACF434F"/>
    <w:rsid w:val="0AD025A1"/>
    <w:rsid w:val="0ADD4CBE"/>
    <w:rsid w:val="0ADF1FB6"/>
    <w:rsid w:val="0AED4016"/>
    <w:rsid w:val="0B065FC2"/>
    <w:rsid w:val="0B094BEE"/>
    <w:rsid w:val="0B0F07B3"/>
    <w:rsid w:val="0B1C3A38"/>
    <w:rsid w:val="0B30303F"/>
    <w:rsid w:val="0B307376"/>
    <w:rsid w:val="0B3C7C36"/>
    <w:rsid w:val="0B494101"/>
    <w:rsid w:val="0B505490"/>
    <w:rsid w:val="0B687E73"/>
    <w:rsid w:val="0B6B3FC6"/>
    <w:rsid w:val="0B6B5978"/>
    <w:rsid w:val="0B7078E0"/>
    <w:rsid w:val="0B7F5D75"/>
    <w:rsid w:val="0B881EA6"/>
    <w:rsid w:val="0B896BF3"/>
    <w:rsid w:val="0B8E420A"/>
    <w:rsid w:val="0B93537C"/>
    <w:rsid w:val="0B9A495D"/>
    <w:rsid w:val="0BA810AA"/>
    <w:rsid w:val="0BA94BA0"/>
    <w:rsid w:val="0BAB0918"/>
    <w:rsid w:val="0BC57BDB"/>
    <w:rsid w:val="0BC677EF"/>
    <w:rsid w:val="0BD239F5"/>
    <w:rsid w:val="0BD47E6F"/>
    <w:rsid w:val="0BD87233"/>
    <w:rsid w:val="0BDD156D"/>
    <w:rsid w:val="0BE67BA2"/>
    <w:rsid w:val="0BEB6F66"/>
    <w:rsid w:val="0BF73B5D"/>
    <w:rsid w:val="0C040028"/>
    <w:rsid w:val="0C04484A"/>
    <w:rsid w:val="0C120997"/>
    <w:rsid w:val="0C142F7B"/>
    <w:rsid w:val="0C1702BF"/>
    <w:rsid w:val="0C197F77"/>
    <w:rsid w:val="0C2228AF"/>
    <w:rsid w:val="0C252478"/>
    <w:rsid w:val="0C29678B"/>
    <w:rsid w:val="0C3B16D4"/>
    <w:rsid w:val="0C3C77C2"/>
    <w:rsid w:val="0C417DFB"/>
    <w:rsid w:val="0C4274CE"/>
    <w:rsid w:val="0C4A6383"/>
    <w:rsid w:val="0C526FE5"/>
    <w:rsid w:val="0C5C0A0D"/>
    <w:rsid w:val="0C6805B7"/>
    <w:rsid w:val="0C980EF0"/>
    <w:rsid w:val="0C992E66"/>
    <w:rsid w:val="0CA31C8C"/>
    <w:rsid w:val="0CA77331"/>
    <w:rsid w:val="0CA84E57"/>
    <w:rsid w:val="0CBC03F1"/>
    <w:rsid w:val="0CC53C5B"/>
    <w:rsid w:val="0CC9374C"/>
    <w:rsid w:val="0CD45C4C"/>
    <w:rsid w:val="0CDB347F"/>
    <w:rsid w:val="0CDF0461"/>
    <w:rsid w:val="0CE55B25"/>
    <w:rsid w:val="0CEC11E8"/>
    <w:rsid w:val="0CEE6D0E"/>
    <w:rsid w:val="0CF167FE"/>
    <w:rsid w:val="0CF33F75"/>
    <w:rsid w:val="0CF85DDF"/>
    <w:rsid w:val="0D0C3638"/>
    <w:rsid w:val="0D131FF6"/>
    <w:rsid w:val="0D1424ED"/>
    <w:rsid w:val="0D2546FA"/>
    <w:rsid w:val="0D3A63F7"/>
    <w:rsid w:val="0D3F3A0E"/>
    <w:rsid w:val="0D474670"/>
    <w:rsid w:val="0D4C0C55"/>
    <w:rsid w:val="0D4C2DA3"/>
    <w:rsid w:val="0D531267"/>
    <w:rsid w:val="0D581593"/>
    <w:rsid w:val="0D5D20E6"/>
    <w:rsid w:val="0D5E3553"/>
    <w:rsid w:val="0D611BD6"/>
    <w:rsid w:val="0D774F56"/>
    <w:rsid w:val="0D915FD8"/>
    <w:rsid w:val="0D9C2C0E"/>
    <w:rsid w:val="0DA36614"/>
    <w:rsid w:val="0DA54274"/>
    <w:rsid w:val="0DAE649D"/>
    <w:rsid w:val="0DB51A3F"/>
    <w:rsid w:val="0DBA7538"/>
    <w:rsid w:val="0DBF68FD"/>
    <w:rsid w:val="0DC00C4A"/>
    <w:rsid w:val="0DC7755F"/>
    <w:rsid w:val="0DCB6F32"/>
    <w:rsid w:val="0DCF5F7A"/>
    <w:rsid w:val="0DD47644"/>
    <w:rsid w:val="0DE3083D"/>
    <w:rsid w:val="0DF447F8"/>
    <w:rsid w:val="0DF540CC"/>
    <w:rsid w:val="0E016F15"/>
    <w:rsid w:val="0E0B6FD4"/>
    <w:rsid w:val="0E272B23"/>
    <w:rsid w:val="0E316003"/>
    <w:rsid w:val="0E323572"/>
    <w:rsid w:val="0E455054"/>
    <w:rsid w:val="0E456E02"/>
    <w:rsid w:val="0E4A08BC"/>
    <w:rsid w:val="0E5139F9"/>
    <w:rsid w:val="0E576C95"/>
    <w:rsid w:val="0E664E52"/>
    <w:rsid w:val="0E6C73CA"/>
    <w:rsid w:val="0E6F3E7F"/>
    <w:rsid w:val="0E707BF7"/>
    <w:rsid w:val="0E715E49"/>
    <w:rsid w:val="0E7758B4"/>
    <w:rsid w:val="0E820C2E"/>
    <w:rsid w:val="0E86263C"/>
    <w:rsid w:val="0E977FDB"/>
    <w:rsid w:val="0E9822E8"/>
    <w:rsid w:val="0E9C5765"/>
    <w:rsid w:val="0EA31D7A"/>
    <w:rsid w:val="0EAA3109"/>
    <w:rsid w:val="0EAD2BF9"/>
    <w:rsid w:val="0EB43F87"/>
    <w:rsid w:val="0EBB70C4"/>
    <w:rsid w:val="0ECC12D1"/>
    <w:rsid w:val="0ED62150"/>
    <w:rsid w:val="0EDD34DE"/>
    <w:rsid w:val="0EE628AF"/>
    <w:rsid w:val="0EE6687B"/>
    <w:rsid w:val="0EEC54CF"/>
    <w:rsid w:val="0EEE16DA"/>
    <w:rsid w:val="0EFA6B12"/>
    <w:rsid w:val="0F056591"/>
    <w:rsid w:val="0F080892"/>
    <w:rsid w:val="0F0F11BE"/>
    <w:rsid w:val="0F1526F4"/>
    <w:rsid w:val="0F1D1B2D"/>
    <w:rsid w:val="0F1E7E30"/>
    <w:rsid w:val="0F21432C"/>
    <w:rsid w:val="0F2904D1"/>
    <w:rsid w:val="0F2C1D70"/>
    <w:rsid w:val="0F3B0205"/>
    <w:rsid w:val="0F404017"/>
    <w:rsid w:val="0F501F02"/>
    <w:rsid w:val="0F584389"/>
    <w:rsid w:val="0F5D461F"/>
    <w:rsid w:val="0F64775C"/>
    <w:rsid w:val="0F6770D5"/>
    <w:rsid w:val="0F7A0D2D"/>
    <w:rsid w:val="0F8A6A96"/>
    <w:rsid w:val="0F917E25"/>
    <w:rsid w:val="0F931DEF"/>
    <w:rsid w:val="0F96368D"/>
    <w:rsid w:val="0F9A4F2B"/>
    <w:rsid w:val="0FA10597"/>
    <w:rsid w:val="0FA91612"/>
    <w:rsid w:val="0FCC70AF"/>
    <w:rsid w:val="0FD06B9F"/>
    <w:rsid w:val="0FD348E1"/>
    <w:rsid w:val="0FE44E94"/>
    <w:rsid w:val="0FE663C2"/>
    <w:rsid w:val="0FEE0698"/>
    <w:rsid w:val="0FF52AA9"/>
    <w:rsid w:val="0FFB457A"/>
    <w:rsid w:val="100131FC"/>
    <w:rsid w:val="10125409"/>
    <w:rsid w:val="101747CE"/>
    <w:rsid w:val="10234F21"/>
    <w:rsid w:val="10282537"/>
    <w:rsid w:val="10345380"/>
    <w:rsid w:val="10352EA6"/>
    <w:rsid w:val="103A670E"/>
    <w:rsid w:val="105972F9"/>
    <w:rsid w:val="105C48D7"/>
    <w:rsid w:val="10635C65"/>
    <w:rsid w:val="108B25AD"/>
    <w:rsid w:val="108B3FDC"/>
    <w:rsid w:val="108F25B6"/>
    <w:rsid w:val="1090632E"/>
    <w:rsid w:val="109C4CD3"/>
    <w:rsid w:val="10AA5642"/>
    <w:rsid w:val="10C761F4"/>
    <w:rsid w:val="10CF50A9"/>
    <w:rsid w:val="10D009F8"/>
    <w:rsid w:val="10D4182A"/>
    <w:rsid w:val="10DE353E"/>
    <w:rsid w:val="10DE709A"/>
    <w:rsid w:val="10E03636"/>
    <w:rsid w:val="10E16B8A"/>
    <w:rsid w:val="10EF12A7"/>
    <w:rsid w:val="10F90377"/>
    <w:rsid w:val="10FB5E9E"/>
    <w:rsid w:val="10FD1C16"/>
    <w:rsid w:val="110034B4"/>
    <w:rsid w:val="1101130C"/>
    <w:rsid w:val="11052878"/>
    <w:rsid w:val="110805BA"/>
    <w:rsid w:val="110C7896"/>
    <w:rsid w:val="110D3F66"/>
    <w:rsid w:val="111D13C1"/>
    <w:rsid w:val="11286567"/>
    <w:rsid w:val="112F5B47"/>
    <w:rsid w:val="113413B0"/>
    <w:rsid w:val="113969C6"/>
    <w:rsid w:val="114E421F"/>
    <w:rsid w:val="11551A52"/>
    <w:rsid w:val="11557A5C"/>
    <w:rsid w:val="115B4B8E"/>
    <w:rsid w:val="116972AB"/>
    <w:rsid w:val="117046E9"/>
    <w:rsid w:val="117F262B"/>
    <w:rsid w:val="1182211B"/>
    <w:rsid w:val="118D7773"/>
    <w:rsid w:val="119105B0"/>
    <w:rsid w:val="11A245D3"/>
    <w:rsid w:val="11A46535"/>
    <w:rsid w:val="11B3592C"/>
    <w:rsid w:val="11B941CC"/>
    <w:rsid w:val="11B97B72"/>
    <w:rsid w:val="11CC783A"/>
    <w:rsid w:val="11D55988"/>
    <w:rsid w:val="11E903EC"/>
    <w:rsid w:val="11EC57E6"/>
    <w:rsid w:val="11F8062F"/>
    <w:rsid w:val="11FA7F03"/>
    <w:rsid w:val="11FB025F"/>
    <w:rsid w:val="11FD7AB0"/>
    <w:rsid w:val="11FF376C"/>
    <w:rsid w:val="12086AC4"/>
    <w:rsid w:val="120E39AF"/>
    <w:rsid w:val="121C431D"/>
    <w:rsid w:val="122B630F"/>
    <w:rsid w:val="1246139A"/>
    <w:rsid w:val="12463148"/>
    <w:rsid w:val="124949E7"/>
    <w:rsid w:val="125E66E4"/>
    <w:rsid w:val="1279351E"/>
    <w:rsid w:val="127E0B34"/>
    <w:rsid w:val="12864A74"/>
    <w:rsid w:val="12881C51"/>
    <w:rsid w:val="128841B2"/>
    <w:rsid w:val="129061C8"/>
    <w:rsid w:val="12B44556"/>
    <w:rsid w:val="12B5207C"/>
    <w:rsid w:val="12B66520"/>
    <w:rsid w:val="12BE7183"/>
    <w:rsid w:val="12C30C3D"/>
    <w:rsid w:val="12C561D4"/>
    <w:rsid w:val="12CB126D"/>
    <w:rsid w:val="12DB5F87"/>
    <w:rsid w:val="12DC3AAD"/>
    <w:rsid w:val="12E50BB3"/>
    <w:rsid w:val="12EA7F78"/>
    <w:rsid w:val="13031039"/>
    <w:rsid w:val="13135720"/>
    <w:rsid w:val="13182D37"/>
    <w:rsid w:val="1319260B"/>
    <w:rsid w:val="132238B8"/>
    <w:rsid w:val="13255454"/>
    <w:rsid w:val="132E255A"/>
    <w:rsid w:val="1332191F"/>
    <w:rsid w:val="133438E9"/>
    <w:rsid w:val="133900CC"/>
    <w:rsid w:val="133F0BE5"/>
    <w:rsid w:val="13421B62"/>
    <w:rsid w:val="13511DA5"/>
    <w:rsid w:val="13581549"/>
    <w:rsid w:val="135D4BEE"/>
    <w:rsid w:val="13605AD3"/>
    <w:rsid w:val="136E0BA9"/>
    <w:rsid w:val="13796485"/>
    <w:rsid w:val="137D703E"/>
    <w:rsid w:val="138A3509"/>
    <w:rsid w:val="138D57EC"/>
    <w:rsid w:val="13946135"/>
    <w:rsid w:val="13A75E69"/>
    <w:rsid w:val="13AA5959"/>
    <w:rsid w:val="13BB7B66"/>
    <w:rsid w:val="13BC4E5C"/>
    <w:rsid w:val="13C22CA3"/>
    <w:rsid w:val="13CB7DA9"/>
    <w:rsid w:val="13CC2F35"/>
    <w:rsid w:val="13D34EB0"/>
    <w:rsid w:val="13DA0E78"/>
    <w:rsid w:val="13E50933"/>
    <w:rsid w:val="13E76BAD"/>
    <w:rsid w:val="13F07810"/>
    <w:rsid w:val="1404150D"/>
    <w:rsid w:val="14071A60"/>
    <w:rsid w:val="14072DAB"/>
    <w:rsid w:val="141352AC"/>
    <w:rsid w:val="141C379C"/>
    <w:rsid w:val="14236A91"/>
    <w:rsid w:val="1433594E"/>
    <w:rsid w:val="143A4F2F"/>
    <w:rsid w:val="143D2FF0"/>
    <w:rsid w:val="14423DE3"/>
    <w:rsid w:val="14447B5C"/>
    <w:rsid w:val="144813FA"/>
    <w:rsid w:val="144B713C"/>
    <w:rsid w:val="144F70BF"/>
    <w:rsid w:val="145940D4"/>
    <w:rsid w:val="145C30F7"/>
    <w:rsid w:val="145F6743"/>
    <w:rsid w:val="14667AD2"/>
    <w:rsid w:val="14757704"/>
    <w:rsid w:val="147E4E1C"/>
    <w:rsid w:val="14861F22"/>
    <w:rsid w:val="14891A12"/>
    <w:rsid w:val="14902DA1"/>
    <w:rsid w:val="149A777C"/>
    <w:rsid w:val="14B051F1"/>
    <w:rsid w:val="14B20F69"/>
    <w:rsid w:val="14B37DDC"/>
    <w:rsid w:val="14B75F16"/>
    <w:rsid w:val="14C447F8"/>
    <w:rsid w:val="14D233B9"/>
    <w:rsid w:val="14D62EA9"/>
    <w:rsid w:val="14D73FF6"/>
    <w:rsid w:val="14DD21B8"/>
    <w:rsid w:val="14E60C13"/>
    <w:rsid w:val="14EB6229"/>
    <w:rsid w:val="14EF7AC7"/>
    <w:rsid w:val="14F50E56"/>
    <w:rsid w:val="14F72E20"/>
    <w:rsid w:val="14FC0436"/>
    <w:rsid w:val="14FE41AE"/>
    <w:rsid w:val="14FE5F5C"/>
    <w:rsid w:val="15064E11"/>
    <w:rsid w:val="15204125"/>
    <w:rsid w:val="152534E9"/>
    <w:rsid w:val="15347BD0"/>
    <w:rsid w:val="153656F6"/>
    <w:rsid w:val="153B6D2D"/>
    <w:rsid w:val="154C4F1A"/>
    <w:rsid w:val="154F0566"/>
    <w:rsid w:val="154F4A0A"/>
    <w:rsid w:val="154F522C"/>
    <w:rsid w:val="155D0ED5"/>
    <w:rsid w:val="157306F8"/>
    <w:rsid w:val="158346B4"/>
    <w:rsid w:val="158D0FFB"/>
    <w:rsid w:val="159266A5"/>
    <w:rsid w:val="159A07FF"/>
    <w:rsid w:val="15A10682"/>
    <w:rsid w:val="15A24B3A"/>
    <w:rsid w:val="15AC3C0A"/>
    <w:rsid w:val="15AF1C4E"/>
    <w:rsid w:val="15B14D7D"/>
    <w:rsid w:val="15B64A89"/>
    <w:rsid w:val="15CA4090"/>
    <w:rsid w:val="15CE592F"/>
    <w:rsid w:val="15E213DA"/>
    <w:rsid w:val="15E909BB"/>
    <w:rsid w:val="15F54030"/>
    <w:rsid w:val="15F64E85"/>
    <w:rsid w:val="15FA6724"/>
    <w:rsid w:val="16007AB2"/>
    <w:rsid w:val="1606331B"/>
    <w:rsid w:val="160E21CF"/>
    <w:rsid w:val="16113A6D"/>
    <w:rsid w:val="161B7FC6"/>
    <w:rsid w:val="1626576B"/>
    <w:rsid w:val="162E461F"/>
    <w:rsid w:val="163A7468"/>
    <w:rsid w:val="16442095"/>
    <w:rsid w:val="16467BBB"/>
    <w:rsid w:val="1647748F"/>
    <w:rsid w:val="164E4CC1"/>
    <w:rsid w:val="164E5D24"/>
    <w:rsid w:val="164E6D02"/>
    <w:rsid w:val="16551BAC"/>
    <w:rsid w:val="16573B76"/>
    <w:rsid w:val="166167A3"/>
    <w:rsid w:val="1667212A"/>
    <w:rsid w:val="1674297A"/>
    <w:rsid w:val="16881F81"/>
    <w:rsid w:val="16907088"/>
    <w:rsid w:val="16946B78"/>
    <w:rsid w:val="16AB7FE5"/>
    <w:rsid w:val="16C84A74"/>
    <w:rsid w:val="16CD4648"/>
    <w:rsid w:val="16D056D6"/>
    <w:rsid w:val="16D231FD"/>
    <w:rsid w:val="16D36F75"/>
    <w:rsid w:val="16D57191"/>
    <w:rsid w:val="16E82A20"/>
    <w:rsid w:val="171005CE"/>
    <w:rsid w:val="172123D6"/>
    <w:rsid w:val="172D48D7"/>
    <w:rsid w:val="172F064F"/>
    <w:rsid w:val="1739327C"/>
    <w:rsid w:val="173B6FF4"/>
    <w:rsid w:val="173C0FBE"/>
    <w:rsid w:val="173C7963"/>
    <w:rsid w:val="17405A4F"/>
    <w:rsid w:val="174B2FAF"/>
    <w:rsid w:val="175D29EC"/>
    <w:rsid w:val="175E2CE2"/>
    <w:rsid w:val="176B039E"/>
    <w:rsid w:val="176D1177"/>
    <w:rsid w:val="176F3141"/>
    <w:rsid w:val="17793FC0"/>
    <w:rsid w:val="1787048B"/>
    <w:rsid w:val="178A7F7B"/>
    <w:rsid w:val="179761F4"/>
    <w:rsid w:val="17A10E21"/>
    <w:rsid w:val="17AF69DE"/>
    <w:rsid w:val="17B15508"/>
    <w:rsid w:val="17B31280"/>
    <w:rsid w:val="17B374D2"/>
    <w:rsid w:val="17BF5E77"/>
    <w:rsid w:val="17F838FD"/>
    <w:rsid w:val="17FF112D"/>
    <w:rsid w:val="18005551"/>
    <w:rsid w:val="18047D2E"/>
    <w:rsid w:val="18090EA0"/>
    <w:rsid w:val="180B43FB"/>
    <w:rsid w:val="180E64B6"/>
    <w:rsid w:val="181066D2"/>
    <w:rsid w:val="18155A97"/>
    <w:rsid w:val="18185587"/>
    <w:rsid w:val="18253800"/>
    <w:rsid w:val="182D0868"/>
    <w:rsid w:val="182E4DAB"/>
    <w:rsid w:val="182F467F"/>
    <w:rsid w:val="183103F7"/>
    <w:rsid w:val="183B3024"/>
    <w:rsid w:val="183D3240"/>
    <w:rsid w:val="18477C1A"/>
    <w:rsid w:val="184F0509"/>
    <w:rsid w:val="18552337"/>
    <w:rsid w:val="18561D8C"/>
    <w:rsid w:val="18593B8F"/>
    <w:rsid w:val="186404DF"/>
    <w:rsid w:val="186E164B"/>
    <w:rsid w:val="18732C1F"/>
    <w:rsid w:val="187529D9"/>
    <w:rsid w:val="18790813"/>
    <w:rsid w:val="18824E87"/>
    <w:rsid w:val="188C387F"/>
    <w:rsid w:val="18A92683"/>
    <w:rsid w:val="18BF3C55"/>
    <w:rsid w:val="18C51314"/>
    <w:rsid w:val="18C63235"/>
    <w:rsid w:val="18C64FE3"/>
    <w:rsid w:val="18D22556"/>
    <w:rsid w:val="18DA45EA"/>
    <w:rsid w:val="18DE057F"/>
    <w:rsid w:val="18EB2C9C"/>
    <w:rsid w:val="18EF453A"/>
    <w:rsid w:val="1901426D"/>
    <w:rsid w:val="19031D93"/>
    <w:rsid w:val="1904299F"/>
    <w:rsid w:val="19120228"/>
    <w:rsid w:val="19324427"/>
    <w:rsid w:val="193453BF"/>
    <w:rsid w:val="194523AC"/>
    <w:rsid w:val="19467ED2"/>
    <w:rsid w:val="19543089"/>
    <w:rsid w:val="195645B9"/>
    <w:rsid w:val="19600F94"/>
    <w:rsid w:val="19616ABA"/>
    <w:rsid w:val="196A3BC0"/>
    <w:rsid w:val="196E41F2"/>
    <w:rsid w:val="197B3BBF"/>
    <w:rsid w:val="197F1077"/>
    <w:rsid w:val="198253AE"/>
    <w:rsid w:val="19866520"/>
    <w:rsid w:val="198D5B01"/>
    <w:rsid w:val="1991739F"/>
    <w:rsid w:val="19B36564"/>
    <w:rsid w:val="19BB441C"/>
    <w:rsid w:val="19BF6247"/>
    <w:rsid w:val="19C5529B"/>
    <w:rsid w:val="19CA0B03"/>
    <w:rsid w:val="19D11E91"/>
    <w:rsid w:val="19E020D4"/>
    <w:rsid w:val="19EC0A79"/>
    <w:rsid w:val="19ED659F"/>
    <w:rsid w:val="19EF40C6"/>
    <w:rsid w:val="19F31E08"/>
    <w:rsid w:val="1A0864FC"/>
    <w:rsid w:val="1A0E09F0"/>
    <w:rsid w:val="1A11228E"/>
    <w:rsid w:val="1A1B4EBB"/>
    <w:rsid w:val="1A200723"/>
    <w:rsid w:val="1A2024D1"/>
    <w:rsid w:val="1A214DCB"/>
    <w:rsid w:val="1A4626D7"/>
    <w:rsid w:val="1A4A39F2"/>
    <w:rsid w:val="1A5F1344"/>
    <w:rsid w:val="1A6525DA"/>
    <w:rsid w:val="1A684B06"/>
    <w:rsid w:val="1A6C7B89"/>
    <w:rsid w:val="1A7C5F3D"/>
    <w:rsid w:val="1A824F3A"/>
    <w:rsid w:val="1A84670E"/>
    <w:rsid w:val="1A9B5F03"/>
    <w:rsid w:val="1A9E7807"/>
    <w:rsid w:val="1AA43102"/>
    <w:rsid w:val="1AB570BD"/>
    <w:rsid w:val="1ACD08AB"/>
    <w:rsid w:val="1AEB6F83"/>
    <w:rsid w:val="1AFB33F3"/>
    <w:rsid w:val="1B010554"/>
    <w:rsid w:val="1B0F40F3"/>
    <w:rsid w:val="1B1D4C62"/>
    <w:rsid w:val="1B281F85"/>
    <w:rsid w:val="1B293607"/>
    <w:rsid w:val="1B3C333B"/>
    <w:rsid w:val="1B486183"/>
    <w:rsid w:val="1B487F31"/>
    <w:rsid w:val="1B4917D8"/>
    <w:rsid w:val="1B52234B"/>
    <w:rsid w:val="1B55264E"/>
    <w:rsid w:val="1B5A1A13"/>
    <w:rsid w:val="1B5A7C65"/>
    <w:rsid w:val="1B5C39DD"/>
    <w:rsid w:val="1B5F4AF9"/>
    <w:rsid w:val="1B6B1E72"/>
    <w:rsid w:val="1B6D5BEA"/>
    <w:rsid w:val="1B79465F"/>
    <w:rsid w:val="1B80591D"/>
    <w:rsid w:val="1B8476EB"/>
    <w:rsid w:val="1B852F33"/>
    <w:rsid w:val="1B925650"/>
    <w:rsid w:val="1B9E3FF5"/>
    <w:rsid w:val="1BA11CF5"/>
    <w:rsid w:val="1BA50EE0"/>
    <w:rsid w:val="1BA535D6"/>
    <w:rsid w:val="1BB13D28"/>
    <w:rsid w:val="1BB235FD"/>
    <w:rsid w:val="1BCA4DFB"/>
    <w:rsid w:val="1BCD48DA"/>
    <w:rsid w:val="1BD40A54"/>
    <w:rsid w:val="1BDD2D6F"/>
    <w:rsid w:val="1BE13EE2"/>
    <w:rsid w:val="1BE834C2"/>
    <w:rsid w:val="1BEA2D97"/>
    <w:rsid w:val="1BEB205D"/>
    <w:rsid w:val="1BEF65FF"/>
    <w:rsid w:val="1BF9747E"/>
    <w:rsid w:val="1BFB1448"/>
    <w:rsid w:val="1BFE4A94"/>
    <w:rsid w:val="1C073948"/>
    <w:rsid w:val="1C0876C1"/>
    <w:rsid w:val="1C112A19"/>
    <w:rsid w:val="1C1A03B1"/>
    <w:rsid w:val="1C35495A"/>
    <w:rsid w:val="1C3B5CE8"/>
    <w:rsid w:val="1C3D1068"/>
    <w:rsid w:val="1C47643B"/>
    <w:rsid w:val="1C5651CA"/>
    <w:rsid w:val="1C611EB0"/>
    <w:rsid w:val="1C662D65"/>
    <w:rsid w:val="1C6C3954"/>
    <w:rsid w:val="1C76287C"/>
    <w:rsid w:val="1C8812E8"/>
    <w:rsid w:val="1C8C02F2"/>
    <w:rsid w:val="1C8E14DF"/>
    <w:rsid w:val="1C8E406A"/>
    <w:rsid w:val="1CA22E30"/>
    <w:rsid w:val="1CA76EDA"/>
    <w:rsid w:val="1CB515F6"/>
    <w:rsid w:val="1CBB4733"/>
    <w:rsid w:val="1CC96E50"/>
    <w:rsid w:val="1CD37CCF"/>
    <w:rsid w:val="1CF245F9"/>
    <w:rsid w:val="1CFA525B"/>
    <w:rsid w:val="1D156539"/>
    <w:rsid w:val="1D1C1676"/>
    <w:rsid w:val="1D1F1166"/>
    <w:rsid w:val="1D2C098E"/>
    <w:rsid w:val="1D2D73DF"/>
    <w:rsid w:val="1D3F5364"/>
    <w:rsid w:val="1D431430"/>
    <w:rsid w:val="1D436C02"/>
    <w:rsid w:val="1D453B13"/>
    <w:rsid w:val="1D592724"/>
    <w:rsid w:val="1D632E00"/>
    <w:rsid w:val="1D6E17A5"/>
    <w:rsid w:val="1D6E6453"/>
    <w:rsid w:val="1D7019C1"/>
    <w:rsid w:val="1D93080B"/>
    <w:rsid w:val="1D9531D6"/>
    <w:rsid w:val="1D9C27B6"/>
    <w:rsid w:val="1DA90A2F"/>
    <w:rsid w:val="1DA91C2B"/>
    <w:rsid w:val="1DB34C47"/>
    <w:rsid w:val="1DB7314C"/>
    <w:rsid w:val="1DC00253"/>
    <w:rsid w:val="1DC13FCB"/>
    <w:rsid w:val="1DC615E1"/>
    <w:rsid w:val="1DD2561B"/>
    <w:rsid w:val="1DD27F86"/>
    <w:rsid w:val="1DD47F39"/>
    <w:rsid w:val="1DE33F41"/>
    <w:rsid w:val="1DE63A32"/>
    <w:rsid w:val="1DED6B6E"/>
    <w:rsid w:val="1DEE45DB"/>
    <w:rsid w:val="1DF0665E"/>
    <w:rsid w:val="1DF2076B"/>
    <w:rsid w:val="1DF223D6"/>
    <w:rsid w:val="1DF919B7"/>
    <w:rsid w:val="1E081BFA"/>
    <w:rsid w:val="1E124827"/>
    <w:rsid w:val="1E1B7B7F"/>
    <w:rsid w:val="1E222CBC"/>
    <w:rsid w:val="1E2307E2"/>
    <w:rsid w:val="1E29229C"/>
    <w:rsid w:val="1E2C58E8"/>
    <w:rsid w:val="1E324C45"/>
    <w:rsid w:val="1E3727F8"/>
    <w:rsid w:val="1E3D7AF5"/>
    <w:rsid w:val="1E432C32"/>
    <w:rsid w:val="1E472722"/>
    <w:rsid w:val="1E482C7E"/>
    <w:rsid w:val="1E5310C7"/>
    <w:rsid w:val="1E544E3F"/>
    <w:rsid w:val="1E546BED"/>
    <w:rsid w:val="1E560BB7"/>
    <w:rsid w:val="1E5866DD"/>
    <w:rsid w:val="1E601A36"/>
    <w:rsid w:val="1E7022E9"/>
    <w:rsid w:val="1E7159F1"/>
    <w:rsid w:val="1E894AE9"/>
    <w:rsid w:val="1E8A6BB7"/>
    <w:rsid w:val="1EAE454F"/>
    <w:rsid w:val="1EBD0C36"/>
    <w:rsid w:val="1EBF49AE"/>
    <w:rsid w:val="1EC27FFB"/>
    <w:rsid w:val="1ED02718"/>
    <w:rsid w:val="1ED55F80"/>
    <w:rsid w:val="1ED63AA6"/>
    <w:rsid w:val="1EDD3086"/>
    <w:rsid w:val="1EE14925"/>
    <w:rsid w:val="1EEE5CD6"/>
    <w:rsid w:val="1EF47841"/>
    <w:rsid w:val="1F1C28AD"/>
    <w:rsid w:val="1F244811"/>
    <w:rsid w:val="1F2729AA"/>
    <w:rsid w:val="1F2E38E2"/>
    <w:rsid w:val="1F38206B"/>
    <w:rsid w:val="1F3C5FFF"/>
    <w:rsid w:val="1F3F164B"/>
    <w:rsid w:val="1F470500"/>
    <w:rsid w:val="1F4B1DA5"/>
    <w:rsid w:val="1F4B28D4"/>
    <w:rsid w:val="1F58270D"/>
    <w:rsid w:val="1F59095F"/>
    <w:rsid w:val="1F6B0692"/>
    <w:rsid w:val="1F796BDC"/>
    <w:rsid w:val="1F7A2683"/>
    <w:rsid w:val="1F7C289F"/>
    <w:rsid w:val="1F817EB6"/>
    <w:rsid w:val="1F881244"/>
    <w:rsid w:val="1F882FF2"/>
    <w:rsid w:val="1F901EA7"/>
    <w:rsid w:val="1FA53BA4"/>
    <w:rsid w:val="1FA85442"/>
    <w:rsid w:val="1FAE7DAB"/>
    <w:rsid w:val="1FB45B95"/>
    <w:rsid w:val="1FC41B50"/>
    <w:rsid w:val="1FC448D4"/>
    <w:rsid w:val="1FC833B6"/>
    <w:rsid w:val="1FCD1FE7"/>
    <w:rsid w:val="1FCD30FB"/>
    <w:rsid w:val="1FD47FE6"/>
    <w:rsid w:val="1FD64BAE"/>
    <w:rsid w:val="1FDC333E"/>
    <w:rsid w:val="1FE8583F"/>
    <w:rsid w:val="1FEA7809"/>
    <w:rsid w:val="1FEC17D3"/>
    <w:rsid w:val="200603BB"/>
    <w:rsid w:val="202F346E"/>
    <w:rsid w:val="20344F28"/>
    <w:rsid w:val="203767C6"/>
    <w:rsid w:val="20436F19"/>
    <w:rsid w:val="204D7D98"/>
    <w:rsid w:val="20531852"/>
    <w:rsid w:val="20586E69"/>
    <w:rsid w:val="20692E24"/>
    <w:rsid w:val="20831A0C"/>
    <w:rsid w:val="20912631"/>
    <w:rsid w:val="20915ED7"/>
    <w:rsid w:val="20994D8B"/>
    <w:rsid w:val="20A51982"/>
    <w:rsid w:val="20B63B8F"/>
    <w:rsid w:val="20B816B5"/>
    <w:rsid w:val="20BE2A44"/>
    <w:rsid w:val="20C0056A"/>
    <w:rsid w:val="20C520C9"/>
    <w:rsid w:val="20D83B05"/>
    <w:rsid w:val="20DA5ACF"/>
    <w:rsid w:val="20E84D89"/>
    <w:rsid w:val="21026DD4"/>
    <w:rsid w:val="21050673"/>
    <w:rsid w:val="210E39CB"/>
    <w:rsid w:val="21115269"/>
    <w:rsid w:val="21154D5A"/>
    <w:rsid w:val="211803A6"/>
    <w:rsid w:val="21240AF9"/>
    <w:rsid w:val="212B632B"/>
    <w:rsid w:val="2130749E"/>
    <w:rsid w:val="21445E78"/>
    <w:rsid w:val="214473ED"/>
    <w:rsid w:val="214A6077"/>
    <w:rsid w:val="21570ECE"/>
    <w:rsid w:val="21617F9F"/>
    <w:rsid w:val="216435EB"/>
    <w:rsid w:val="21676C37"/>
    <w:rsid w:val="21701F90"/>
    <w:rsid w:val="21717AB6"/>
    <w:rsid w:val="21AB2FC8"/>
    <w:rsid w:val="21AD6D40"/>
    <w:rsid w:val="21B26104"/>
    <w:rsid w:val="21B3462E"/>
    <w:rsid w:val="21C30312"/>
    <w:rsid w:val="21C85928"/>
    <w:rsid w:val="21C916A0"/>
    <w:rsid w:val="21C972A0"/>
    <w:rsid w:val="21D00C81"/>
    <w:rsid w:val="21D841C9"/>
    <w:rsid w:val="21DF0EC4"/>
    <w:rsid w:val="21E927E3"/>
    <w:rsid w:val="21E953ED"/>
    <w:rsid w:val="21EA1D42"/>
    <w:rsid w:val="21F20BF7"/>
    <w:rsid w:val="21FB3F4F"/>
    <w:rsid w:val="21FC1A76"/>
    <w:rsid w:val="21FC44C6"/>
    <w:rsid w:val="220B3A67"/>
    <w:rsid w:val="222D60D3"/>
    <w:rsid w:val="22314A37"/>
    <w:rsid w:val="223222B0"/>
    <w:rsid w:val="223E18FF"/>
    <w:rsid w:val="2248619B"/>
    <w:rsid w:val="224D0523"/>
    <w:rsid w:val="225278E7"/>
    <w:rsid w:val="225C4752"/>
    <w:rsid w:val="2268710B"/>
    <w:rsid w:val="227B0BEC"/>
    <w:rsid w:val="228A0E2F"/>
    <w:rsid w:val="228A52D3"/>
    <w:rsid w:val="228F3FB9"/>
    <w:rsid w:val="2298179E"/>
    <w:rsid w:val="229E66AC"/>
    <w:rsid w:val="22A00653"/>
    <w:rsid w:val="22AE3413"/>
    <w:rsid w:val="22B10EF6"/>
    <w:rsid w:val="22BA5BB9"/>
    <w:rsid w:val="22BE4F7D"/>
    <w:rsid w:val="22C00CF5"/>
    <w:rsid w:val="22C407E5"/>
    <w:rsid w:val="22C73E32"/>
    <w:rsid w:val="22C75BE0"/>
    <w:rsid w:val="22E449E3"/>
    <w:rsid w:val="22EC3898"/>
    <w:rsid w:val="22EF3388"/>
    <w:rsid w:val="22F32E79"/>
    <w:rsid w:val="230230BC"/>
    <w:rsid w:val="23054E70"/>
    <w:rsid w:val="230E1A60"/>
    <w:rsid w:val="232079E6"/>
    <w:rsid w:val="23243032"/>
    <w:rsid w:val="23250B58"/>
    <w:rsid w:val="23305E7B"/>
    <w:rsid w:val="233D68C9"/>
    <w:rsid w:val="23515DF1"/>
    <w:rsid w:val="235A4CA6"/>
    <w:rsid w:val="235F406A"/>
    <w:rsid w:val="23607DE2"/>
    <w:rsid w:val="236E0751"/>
    <w:rsid w:val="236F263E"/>
    <w:rsid w:val="238166D6"/>
    <w:rsid w:val="23825FAA"/>
    <w:rsid w:val="238C0BD7"/>
    <w:rsid w:val="23952438"/>
    <w:rsid w:val="239625E5"/>
    <w:rsid w:val="239A1546"/>
    <w:rsid w:val="23A016DC"/>
    <w:rsid w:val="23A6613D"/>
    <w:rsid w:val="23A843B5"/>
    <w:rsid w:val="23A93537"/>
    <w:rsid w:val="23AC4116"/>
    <w:rsid w:val="23AD1279"/>
    <w:rsid w:val="23AD74CB"/>
    <w:rsid w:val="23CD5478"/>
    <w:rsid w:val="23DA1943"/>
    <w:rsid w:val="23DF164F"/>
    <w:rsid w:val="23FC5D5D"/>
    <w:rsid w:val="24044C11"/>
    <w:rsid w:val="240B527C"/>
    <w:rsid w:val="241035B6"/>
    <w:rsid w:val="241412F8"/>
    <w:rsid w:val="24172B97"/>
    <w:rsid w:val="242B219E"/>
    <w:rsid w:val="24411B3B"/>
    <w:rsid w:val="24417C14"/>
    <w:rsid w:val="24480FA2"/>
    <w:rsid w:val="24521E21"/>
    <w:rsid w:val="24596D0B"/>
    <w:rsid w:val="245C67FB"/>
    <w:rsid w:val="246102B6"/>
    <w:rsid w:val="246F652F"/>
    <w:rsid w:val="24727DCD"/>
    <w:rsid w:val="2479115B"/>
    <w:rsid w:val="24857B00"/>
    <w:rsid w:val="249D3020"/>
    <w:rsid w:val="24A3267C"/>
    <w:rsid w:val="24A445F5"/>
    <w:rsid w:val="24A87C93"/>
    <w:rsid w:val="24C83E91"/>
    <w:rsid w:val="24CA5439"/>
    <w:rsid w:val="24D168DD"/>
    <w:rsid w:val="24D80578"/>
    <w:rsid w:val="250174C1"/>
    <w:rsid w:val="2504136D"/>
    <w:rsid w:val="250F7D12"/>
    <w:rsid w:val="25292B82"/>
    <w:rsid w:val="253D03DB"/>
    <w:rsid w:val="254D5781"/>
    <w:rsid w:val="255816B9"/>
    <w:rsid w:val="25665B84"/>
    <w:rsid w:val="256775FC"/>
    <w:rsid w:val="25755DC7"/>
    <w:rsid w:val="258129BE"/>
    <w:rsid w:val="25927635"/>
    <w:rsid w:val="259A582D"/>
    <w:rsid w:val="259F4BF2"/>
    <w:rsid w:val="25A95A70"/>
    <w:rsid w:val="25AE3087"/>
    <w:rsid w:val="25B20DC9"/>
    <w:rsid w:val="25B763DF"/>
    <w:rsid w:val="25B82157"/>
    <w:rsid w:val="25C12DBA"/>
    <w:rsid w:val="25D7082F"/>
    <w:rsid w:val="25DA39A6"/>
    <w:rsid w:val="25FC2044"/>
    <w:rsid w:val="25FD5DBC"/>
    <w:rsid w:val="25FE400E"/>
    <w:rsid w:val="25FF1B34"/>
    <w:rsid w:val="26105AEF"/>
    <w:rsid w:val="2613247A"/>
    <w:rsid w:val="261A3D91"/>
    <w:rsid w:val="26211AAB"/>
    <w:rsid w:val="262958A6"/>
    <w:rsid w:val="26325A66"/>
    <w:rsid w:val="26395046"/>
    <w:rsid w:val="263E265D"/>
    <w:rsid w:val="263F27FC"/>
    <w:rsid w:val="263F5F38"/>
    <w:rsid w:val="264C1E77"/>
    <w:rsid w:val="264E4FA6"/>
    <w:rsid w:val="264F486A"/>
    <w:rsid w:val="26500847"/>
    <w:rsid w:val="265C6F87"/>
    <w:rsid w:val="265F0A89"/>
    <w:rsid w:val="266D5806"/>
    <w:rsid w:val="2678162D"/>
    <w:rsid w:val="2685394B"/>
    <w:rsid w:val="26A06E73"/>
    <w:rsid w:val="26A17CB3"/>
    <w:rsid w:val="26AD333E"/>
    <w:rsid w:val="26B4291F"/>
    <w:rsid w:val="26C8461C"/>
    <w:rsid w:val="26CF59AB"/>
    <w:rsid w:val="26D1483F"/>
    <w:rsid w:val="26ED2E30"/>
    <w:rsid w:val="26F23907"/>
    <w:rsid w:val="26F45411"/>
    <w:rsid w:val="26FB22FC"/>
    <w:rsid w:val="27003DB6"/>
    <w:rsid w:val="27037402"/>
    <w:rsid w:val="272A0E33"/>
    <w:rsid w:val="2733597D"/>
    <w:rsid w:val="27437AAB"/>
    <w:rsid w:val="274A3EF3"/>
    <w:rsid w:val="27547C5E"/>
    <w:rsid w:val="275639D6"/>
    <w:rsid w:val="275814FC"/>
    <w:rsid w:val="276022E1"/>
    <w:rsid w:val="276E51C4"/>
    <w:rsid w:val="276E6F72"/>
    <w:rsid w:val="27765E26"/>
    <w:rsid w:val="27790693"/>
    <w:rsid w:val="27797E74"/>
    <w:rsid w:val="277D59DB"/>
    <w:rsid w:val="27827213"/>
    <w:rsid w:val="2791110F"/>
    <w:rsid w:val="27912C60"/>
    <w:rsid w:val="2796500D"/>
    <w:rsid w:val="27984D50"/>
    <w:rsid w:val="279A7D67"/>
    <w:rsid w:val="279F35CF"/>
    <w:rsid w:val="27A40BE5"/>
    <w:rsid w:val="27A753C2"/>
    <w:rsid w:val="27C13545"/>
    <w:rsid w:val="27C6290A"/>
    <w:rsid w:val="27C634E0"/>
    <w:rsid w:val="27E234BC"/>
    <w:rsid w:val="27F8683B"/>
    <w:rsid w:val="28002F4C"/>
    <w:rsid w:val="28011B94"/>
    <w:rsid w:val="280136B2"/>
    <w:rsid w:val="282633A8"/>
    <w:rsid w:val="28292E99"/>
    <w:rsid w:val="283D650B"/>
    <w:rsid w:val="283D728A"/>
    <w:rsid w:val="283F26BC"/>
    <w:rsid w:val="28405EB8"/>
    <w:rsid w:val="28416434"/>
    <w:rsid w:val="284321AC"/>
    <w:rsid w:val="28461C9C"/>
    <w:rsid w:val="28722A91"/>
    <w:rsid w:val="28884063"/>
    <w:rsid w:val="28900B92"/>
    <w:rsid w:val="28996E4C"/>
    <w:rsid w:val="289E7A17"/>
    <w:rsid w:val="28AD5878"/>
    <w:rsid w:val="28B05368"/>
    <w:rsid w:val="28C50E13"/>
    <w:rsid w:val="28D42E04"/>
    <w:rsid w:val="28E219C5"/>
    <w:rsid w:val="28E514B5"/>
    <w:rsid w:val="28ED2118"/>
    <w:rsid w:val="28EF40E2"/>
    <w:rsid w:val="29012323"/>
    <w:rsid w:val="2904384D"/>
    <w:rsid w:val="290556B4"/>
    <w:rsid w:val="291E0523"/>
    <w:rsid w:val="291E22D1"/>
    <w:rsid w:val="29223D5F"/>
    <w:rsid w:val="29281796"/>
    <w:rsid w:val="292875F4"/>
    <w:rsid w:val="292A511A"/>
    <w:rsid w:val="293B2E83"/>
    <w:rsid w:val="29453D02"/>
    <w:rsid w:val="29456B6B"/>
    <w:rsid w:val="29514455"/>
    <w:rsid w:val="2967011C"/>
    <w:rsid w:val="296E03FD"/>
    <w:rsid w:val="29A529F3"/>
    <w:rsid w:val="29A547A1"/>
    <w:rsid w:val="29B50E88"/>
    <w:rsid w:val="29B669AE"/>
    <w:rsid w:val="29C27101"/>
    <w:rsid w:val="29C9048F"/>
    <w:rsid w:val="29C966E1"/>
    <w:rsid w:val="29CE0C41"/>
    <w:rsid w:val="29D55086"/>
    <w:rsid w:val="29E96D83"/>
    <w:rsid w:val="29EF3C6E"/>
    <w:rsid w:val="2A0D0CC4"/>
    <w:rsid w:val="2A181417"/>
    <w:rsid w:val="2A1A518F"/>
    <w:rsid w:val="2A201418"/>
    <w:rsid w:val="2A2D4EC2"/>
    <w:rsid w:val="2A306760"/>
    <w:rsid w:val="2A44220C"/>
    <w:rsid w:val="2A4915D0"/>
    <w:rsid w:val="2A556AAA"/>
    <w:rsid w:val="2A557513"/>
    <w:rsid w:val="2A585CB7"/>
    <w:rsid w:val="2A6E263D"/>
    <w:rsid w:val="2A73489F"/>
    <w:rsid w:val="2A73621E"/>
    <w:rsid w:val="2A7A42D1"/>
    <w:rsid w:val="2A954815"/>
    <w:rsid w:val="2A9767DF"/>
    <w:rsid w:val="2AA33668"/>
    <w:rsid w:val="2AA42CAA"/>
    <w:rsid w:val="2AA50EFC"/>
    <w:rsid w:val="2AAA4765"/>
    <w:rsid w:val="2AAF3B29"/>
    <w:rsid w:val="2AB32EED"/>
    <w:rsid w:val="2AB96756"/>
    <w:rsid w:val="2ABA427C"/>
    <w:rsid w:val="2ABE5B1A"/>
    <w:rsid w:val="2AC31382"/>
    <w:rsid w:val="2ACB0237"/>
    <w:rsid w:val="2ACF5F79"/>
    <w:rsid w:val="2AD215C5"/>
    <w:rsid w:val="2AEC4567"/>
    <w:rsid w:val="2B02634F"/>
    <w:rsid w:val="2B0A5203"/>
    <w:rsid w:val="2B1301F2"/>
    <w:rsid w:val="2B1B11BE"/>
    <w:rsid w:val="2B253DEB"/>
    <w:rsid w:val="2B277B63"/>
    <w:rsid w:val="2B2C6548"/>
    <w:rsid w:val="2B381D70"/>
    <w:rsid w:val="2B3F404B"/>
    <w:rsid w:val="2B51665E"/>
    <w:rsid w:val="2B520958"/>
    <w:rsid w:val="2B54647E"/>
    <w:rsid w:val="2B5B15BB"/>
    <w:rsid w:val="2B5C5333"/>
    <w:rsid w:val="2B65068C"/>
    <w:rsid w:val="2B737D46"/>
    <w:rsid w:val="2B792014"/>
    <w:rsid w:val="2B7C7793"/>
    <w:rsid w:val="2B852ADC"/>
    <w:rsid w:val="2B8925CC"/>
    <w:rsid w:val="2B942D1F"/>
    <w:rsid w:val="2BB15EE2"/>
    <w:rsid w:val="2BBB474F"/>
    <w:rsid w:val="2BC5112A"/>
    <w:rsid w:val="2BD17ACF"/>
    <w:rsid w:val="2BD55811"/>
    <w:rsid w:val="2BDD46C6"/>
    <w:rsid w:val="2BE157B2"/>
    <w:rsid w:val="2BEC4909"/>
    <w:rsid w:val="2BF34B52"/>
    <w:rsid w:val="2BF437BD"/>
    <w:rsid w:val="2BF612E4"/>
    <w:rsid w:val="2C016606"/>
    <w:rsid w:val="2C091017"/>
    <w:rsid w:val="2C0E2AD1"/>
    <w:rsid w:val="2C136339"/>
    <w:rsid w:val="2C18297B"/>
    <w:rsid w:val="2C1B0D4A"/>
    <w:rsid w:val="2C1F083A"/>
    <w:rsid w:val="2C2C73FB"/>
    <w:rsid w:val="2C2E0A7D"/>
    <w:rsid w:val="2C3F3770"/>
    <w:rsid w:val="2C46226B"/>
    <w:rsid w:val="2C527E03"/>
    <w:rsid w:val="2C5F50DB"/>
    <w:rsid w:val="2C622E1D"/>
    <w:rsid w:val="2C652673"/>
    <w:rsid w:val="2C6941AB"/>
    <w:rsid w:val="2C70553A"/>
    <w:rsid w:val="2C7843EE"/>
    <w:rsid w:val="2C844B41"/>
    <w:rsid w:val="2C9254B0"/>
    <w:rsid w:val="2CA174A1"/>
    <w:rsid w:val="2CA44A54"/>
    <w:rsid w:val="2CA46F92"/>
    <w:rsid w:val="2CB17636"/>
    <w:rsid w:val="2CB2345D"/>
    <w:rsid w:val="2CBC077F"/>
    <w:rsid w:val="2CCF04B2"/>
    <w:rsid w:val="2CDF7FCA"/>
    <w:rsid w:val="2CE13D42"/>
    <w:rsid w:val="2CEF795B"/>
    <w:rsid w:val="2CF0667B"/>
    <w:rsid w:val="2CF33142"/>
    <w:rsid w:val="2CFE2B46"/>
    <w:rsid w:val="2D0A3299"/>
    <w:rsid w:val="2D102879"/>
    <w:rsid w:val="2D2B3E5F"/>
    <w:rsid w:val="2D3227EF"/>
    <w:rsid w:val="2D346567"/>
    <w:rsid w:val="2D391DD0"/>
    <w:rsid w:val="2D3C6A45"/>
    <w:rsid w:val="2D3F3DE6"/>
    <w:rsid w:val="2D4D13D7"/>
    <w:rsid w:val="2D517119"/>
    <w:rsid w:val="2D5409B8"/>
    <w:rsid w:val="2D5E1836"/>
    <w:rsid w:val="2D684652"/>
    <w:rsid w:val="2D6F57F1"/>
    <w:rsid w:val="2D746964"/>
    <w:rsid w:val="2D79041E"/>
    <w:rsid w:val="2D7E77E3"/>
    <w:rsid w:val="2D8868B3"/>
    <w:rsid w:val="2D8A43D9"/>
    <w:rsid w:val="2D8B6BA9"/>
    <w:rsid w:val="2D8C4D7E"/>
    <w:rsid w:val="2D8E0084"/>
    <w:rsid w:val="2D8E65D8"/>
    <w:rsid w:val="2D915768"/>
    <w:rsid w:val="2DA90D03"/>
    <w:rsid w:val="2DAA4A7C"/>
    <w:rsid w:val="2DAE631A"/>
    <w:rsid w:val="2DAF2092"/>
    <w:rsid w:val="2DB11DC2"/>
    <w:rsid w:val="2DB41456"/>
    <w:rsid w:val="2DC21DC5"/>
    <w:rsid w:val="2DCC49F2"/>
    <w:rsid w:val="2DD92C6B"/>
    <w:rsid w:val="2DDD6BFF"/>
    <w:rsid w:val="2DEB38E0"/>
    <w:rsid w:val="2DEF06E0"/>
    <w:rsid w:val="2DFD4BAB"/>
    <w:rsid w:val="2E070284"/>
    <w:rsid w:val="2E0A0316"/>
    <w:rsid w:val="2E0C3040"/>
    <w:rsid w:val="2E271C28"/>
    <w:rsid w:val="2E3275BA"/>
    <w:rsid w:val="2E422F06"/>
    <w:rsid w:val="2E440A2C"/>
    <w:rsid w:val="2E474078"/>
    <w:rsid w:val="2E475FFA"/>
    <w:rsid w:val="2E5858F1"/>
    <w:rsid w:val="2E620558"/>
    <w:rsid w:val="2E6316BF"/>
    <w:rsid w:val="2E755089"/>
    <w:rsid w:val="2E764A80"/>
    <w:rsid w:val="2E772BB0"/>
    <w:rsid w:val="2E81758A"/>
    <w:rsid w:val="2E861045"/>
    <w:rsid w:val="2E8A241A"/>
    <w:rsid w:val="2E8E7EF9"/>
    <w:rsid w:val="2EB52381"/>
    <w:rsid w:val="2EB72FAC"/>
    <w:rsid w:val="2EB739FE"/>
    <w:rsid w:val="2EBE07DF"/>
    <w:rsid w:val="2EC1207D"/>
    <w:rsid w:val="2ED7364E"/>
    <w:rsid w:val="2EDC2A13"/>
    <w:rsid w:val="2EEE2746"/>
    <w:rsid w:val="2EF21C28"/>
    <w:rsid w:val="2EF7419D"/>
    <w:rsid w:val="2F01691D"/>
    <w:rsid w:val="2F04398C"/>
    <w:rsid w:val="2F0E7DE7"/>
    <w:rsid w:val="2F120B2A"/>
    <w:rsid w:val="2F271FBD"/>
    <w:rsid w:val="2F2A5E74"/>
    <w:rsid w:val="2F2B399A"/>
    <w:rsid w:val="2F34284F"/>
    <w:rsid w:val="2F4100D3"/>
    <w:rsid w:val="2F432EAE"/>
    <w:rsid w:val="2F4B5DEA"/>
    <w:rsid w:val="2F5922B5"/>
    <w:rsid w:val="2F5E5B1E"/>
    <w:rsid w:val="2F5E78CC"/>
    <w:rsid w:val="2F662050"/>
    <w:rsid w:val="2F677EE1"/>
    <w:rsid w:val="2F8B61E7"/>
    <w:rsid w:val="2F8D01B1"/>
    <w:rsid w:val="2F963509"/>
    <w:rsid w:val="2F996B56"/>
    <w:rsid w:val="2F9C21A2"/>
    <w:rsid w:val="2FA71273"/>
    <w:rsid w:val="2FB17BFE"/>
    <w:rsid w:val="2FB219C5"/>
    <w:rsid w:val="2FB27C17"/>
    <w:rsid w:val="2FBE480E"/>
    <w:rsid w:val="2FC55B9D"/>
    <w:rsid w:val="2FCC2A87"/>
    <w:rsid w:val="2FCD67FF"/>
    <w:rsid w:val="2FD14541"/>
    <w:rsid w:val="2FD51F89"/>
    <w:rsid w:val="2FD8767E"/>
    <w:rsid w:val="2FDC470C"/>
    <w:rsid w:val="2FDE5677"/>
    <w:rsid w:val="2FEA115F"/>
    <w:rsid w:val="2FEC4ED7"/>
    <w:rsid w:val="2FF67B04"/>
    <w:rsid w:val="2FF7387C"/>
    <w:rsid w:val="2FFF10AF"/>
    <w:rsid w:val="30004E27"/>
    <w:rsid w:val="300F0BC6"/>
    <w:rsid w:val="301306B6"/>
    <w:rsid w:val="301E6EDA"/>
    <w:rsid w:val="302E5ACA"/>
    <w:rsid w:val="303074BA"/>
    <w:rsid w:val="30330D58"/>
    <w:rsid w:val="30335083"/>
    <w:rsid w:val="303B5E5F"/>
    <w:rsid w:val="304C1E1A"/>
    <w:rsid w:val="3050190A"/>
    <w:rsid w:val="305D4ABE"/>
    <w:rsid w:val="305E56A9"/>
    <w:rsid w:val="305F2FC5"/>
    <w:rsid w:val="305F7D9F"/>
    <w:rsid w:val="3060709E"/>
    <w:rsid w:val="30670A02"/>
    <w:rsid w:val="307355F9"/>
    <w:rsid w:val="307B7CD1"/>
    <w:rsid w:val="307C26FF"/>
    <w:rsid w:val="308F4BBE"/>
    <w:rsid w:val="30AC4667"/>
    <w:rsid w:val="30C3032E"/>
    <w:rsid w:val="30D00355"/>
    <w:rsid w:val="30D2231F"/>
    <w:rsid w:val="30D468F6"/>
    <w:rsid w:val="30DD2A72"/>
    <w:rsid w:val="30E107B4"/>
    <w:rsid w:val="30E46F10"/>
    <w:rsid w:val="30E6401D"/>
    <w:rsid w:val="30EB33E1"/>
    <w:rsid w:val="30EC1FCD"/>
    <w:rsid w:val="30F75EF3"/>
    <w:rsid w:val="30FA7AC8"/>
    <w:rsid w:val="310426F5"/>
    <w:rsid w:val="31083F93"/>
    <w:rsid w:val="31172428"/>
    <w:rsid w:val="3139239E"/>
    <w:rsid w:val="31436D79"/>
    <w:rsid w:val="315C42DF"/>
    <w:rsid w:val="315F6F42"/>
    <w:rsid w:val="316A2906"/>
    <w:rsid w:val="317038E6"/>
    <w:rsid w:val="3175714F"/>
    <w:rsid w:val="317C672F"/>
    <w:rsid w:val="31815AF3"/>
    <w:rsid w:val="31AF2660"/>
    <w:rsid w:val="31B163D9"/>
    <w:rsid w:val="31CC3212"/>
    <w:rsid w:val="31E11582"/>
    <w:rsid w:val="31E22A36"/>
    <w:rsid w:val="31E340B8"/>
    <w:rsid w:val="31ED3189"/>
    <w:rsid w:val="31EF0CAF"/>
    <w:rsid w:val="31FD161E"/>
    <w:rsid w:val="3207249C"/>
    <w:rsid w:val="32096215"/>
    <w:rsid w:val="320A7897"/>
    <w:rsid w:val="32130E41"/>
    <w:rsid w:val="32236BAB"/>
    <w:rsid w:val="323350B7"/>
    <w:rsid w:val="323808A8"/>
    <w:rsid w:val="323963CE"/>
    <w:rsid w:val="324A4137"/>
    <w:rsid w:val="325A081E"/>
    <w:rsid w:val="325D3E6B"/>
    <w:rsid w:val="326E553C"/>
    <w:rsid w:val="32747406"/>
    <w:rsid w:val="327A2C6E"/>
    <w:rsid w:val="328105BF"/>
    <w:rsid w:val="32841A3F"/>
    <w:rsid w:val="328A09D8"/>
    <w:rsid w:val="328C0BF4"/>
    <w:rsid w:val="328D2734"/>
    <w:rsid w:val="32951856"/>
    <w:rsid w:val="32A203C1"/>
    <w:rsid w:val="32AD1732"/>
    <w:rsid w:val="32B721F7"/>
    <w:rsid w:val="32BD6FFF"/>
    <w:rsid w:val="32C4213C"/>
    <w:rsid w:val="32D06D32"/>
    <w:rsid w:val="32D103B5"/>
    <w:rsid w:val="32D16C5C"/>
    <w:rsid w:val="32DA370D"/>
    <w:rsid w:val="32E20814"/>
    <w:rsid w:val="32FA790B"/>
    <w:rsid w:val="32FC1E48"/>
    <w:rsid w:val="32FF13C6"/>
    <w:rsid w:val="3307027A"/>
    <w:rsid w:val="333C43C8"/>
    <w:rsid w:val="333C7F24"/>
    <w:rsid w:val="33484B1B"/>
    <w:rsid w:val="334E5EA9"/>
    <w:rsid w:val="33680D19"/>
    <w:rsid w:val="33686F6B"/>
    <w:rsid w:val="337376BE"/>
    <w:rsid w:val="3382146C"/>
    <w:rsid w:val="338E62A6"/>
    <w:rsid w:val="3391210B"/>
    <w:rsid w:val="33A04957"/>
    <w:rsid w:val="33AA7583"/>
    <w:rsid w:val="33AF4B9A"/>
    <w:rsid w:val="33B43F5E"/>
    <w:rsid w:val="33B9293B"/>
    <w:rsid w:val="33BB366E"/>
    <w:rsid w:val="33BF2903"/>
    <w:rsid w:val="33C06DA7"/>
    <w:rsid w:val="33CB37EB"/>
    <w:rsid w:val="33CD3272"/>
    <w:rsid w:val="33D04B10"/>
    <w:rsid w:val="33D6211D"/>
    <w:rsid w:val="33E12879"/>
    <w:rsid w:val="33E505BB"/>
    <w:rsid w:val="33E5680D"/>
    <w:rsid w:val="33EA3E24"/>
    <w:rsid w:val="33EB36F8"/>
    <w:rsid w:val="33F513F6"/>
    <w:rsid w:val="33F80FD8"/>
    <w:rsid w:val="33FB393B"/>
    <w:rsid w:val="34013C80"/>
    <w:rsid w:val="34034EE6"/>
    <w:rsid w:val="34036C94"/>
    <w:rsid w:val="341113B0"/>
    <w:rsid w:val="342D3D10"/>
    <w:rsid w:val="34362202"/>
    <w:rsid w:val="34381EC1"/>
    <w:rsid w:val="34390907"/>
    <w:rsid w:val="343E7CCC"/>
    <w:rsid w:val="344D34D0"/>
    <w:rsid w:val="34545741"/>
    <w:rsid w:val="346B1EE2"/>
    <w:rsid w:val="348002E4"/>
    <w:rsid w:val="34831B82"/>
    <w:rsid w:val="3497675E"/>
    <w:rsid w:val="349B511E"/>
    <w:rsid w:val="34AE08B5"/>
    <w:rsid w:val="34AF7779"/>
    <w:rsid w:val="34B8182C"/>
    <w:rsid w:val="34B87A7E"/>
    <w:rsid w:val="34C91C8B"/>
    <w:rsid w:val="34D10B40"/>
    <w:rsid w:val="34DB0A44"/>
    <w:rsid w:val="34FF56AD"/>
    <w:rsid w:val="350D601C"/>
    <w:rsid w:val="350F4B38"/>
    <w:rsid w:val="351278EA"/>
    <w:rsid w:val="35130D8B"/>
    <w:rsid w:val="35243365"/>
    <w:rsid w:val="35360D62"/>
    <w:rsid w:val="35386E11"/>
    <w:rsid w:val="35411821"/>
    <w:rsid w:val="35431A3E"/>
    <w:rsid w:val="354A45F8"/>
    <w:rsid w:val="354B08F2"/>
    <w:rsid w:val="35521BC3"/>
    <w:rsid w:val="35551771"/>
    <w:rsid w:val="3555351F"/>
    <w:rsid w:val="35632868"/>
    <w:rsid w:val="35696FCA"/>
    <w:rsid w:val="35725E7F"/>
    <w:rsid w:val="3581357E"/>
    <w:rsid w:val="3582029F"/>
    <w:rsid w:val="3583008C"/>
    <w:rsid w:val="358A2D37"/>
    <w:rsid w:val="358C78D5"/>
    <w:rsid w:val="35AD335B"/>
    <w:rsid w:val="35B069A7"/>
    <w:rsid w:val="35B75F88"/>
    <w:rsid w:val="35C104AB"/>
    <w:rsid w:val="35C42453"/>
    <w:rsid w:val="35CF1523"/>
    <w:rsid w:val="35E054DE"/>
    <w:rsid w:val="35E12C8E"/>
    <w:rsid w:val="35EF74CF"/>
    <w:rsid w:val="35F920FC"/>
    <w:rsid w:val="36070CBD"/>
    <w:rsid w:val="360B1E2F"/>
    <w:rsid w:val="360D204B"/>
    <w:rsid w:val="360D3DFA"/>
    <w:rsid w:val="360F7B72"/>
    <w:rsid w:val="36121410"/>
    <w:rsid w:val="362178A5"/>
    <w:rsid w:val="362C24D2"/>
    <w:rsid w:val="362F3D70"/>
    <w:rsid w:val="36323860"/>
    <w:rsid w:val="363E3FB3"/>
    <w:rsid w:val="36413AA3"/>
    <w:rsid w:val="36624145"/>
    <w:rsid w:val="3667175C"/>
    <w:rsid w:val="366854D4"/>
    <w:rsid w:val="366E2AEA"/>
    <w:rsid w:val="366F28E4"/>
    <w:rsid w:val="36714388"/>
    <w:rsid w:val="367B5207"/>
    <w:rsid w:val="36834789"/>
    <w:rsid w:val="368B6C98"/>
    <w:rsid w:val="369C67E3"/>
    <w:rsid w:val="36A246D2"/>
    <w:rsid w:val="36AE1139"/>
    <w:rsid w:val="36C24BE4"/>
    <w:rsid w:val="36C344B8"/>
    <w:rsid w:val="36EB3961"/>
    <w:rsid w:val="36F62AE0"/>
    <w:rsid w:val="36F6488E"/>
    <w:rsid w:val="36F9612C"/>
    <w:rsid w:val="36FC39AF"/>
    <w:rsid w:val="36FD1D58"/>
    <w:rsid w:val="370A0339"/>
    <w:rsid w:val="37171894"/>
    <w:rsid w:val="371D006C"/>
    <w:rsid w:val="372063AD"/>
    <w:rsid w:val="372B47D4"/>
    <w:rsid w:val="37386C54"/>
    <w:rsid w:val="373E2203"/>
    <w:rsid w:val="37403D5B"/>
    <w:rsid w:val="37405933"/>
    <w:rsid w:val="374D6BA3"/>
    <w:rsid w:val="374E514C"/>
    <w:rsid w:val="376161AB"/>
    <w:rsid w:val="37647A49"/>
    <w:rsid w:val="37667C65"/>
    <w:rsid w:val="37702892"/>
    <w:rsid w:val="37735EDE"/>
    <w:rsid w:val="3792503C"/>
    <w:rsid w:val="3793032E"/>
    <w:rsid w:val="37A30ED5"/>
    <w:rsid w:val="37A4253C"/>
    <w:rsid w:val="37B87D95"/>
    <w:rsid w:val="37BC1633"/>
    <w:rsid w:val="37BF1123"/>
    <w:rsid w:val="37BF2ED1"/>
    <w:rsid w:val="37CD1A92"/>
    <w:rsid w:val="37E961A0"/>
    <w:rsid w:val="37EC6068"/>
    <w:rsid w:val="37F05781"/>
    <w:rsid w:val="37F07D68"/>
    <w:rsid w:val="380B4369"/>
    <w:rsid w:val="38106595"/>
    <w:rsid w:val="3814321D"/>
    <w:rsid w:val="381B22F3"/>
    <w:rsid w:val="381B745C"/>
    <w:rsid w:val="3825542A"/>
    <w:rsid w:val="382F44FB"/>
    <w:rsid w:val="38325D99"/>
    <w:rsid w:val="3834566E"/>
    <w:rsid w:val="38456A2F"/>
    <w:rsid w:val="384C6E5B"/>
    <w:rsid w:val="384D4981"/>
    <w:rsid w:val="384F4255"/>
    <w:rsid w:val="38563836"/>
    <w:rsid w:val="3857135C"/>
    <w:rsid w:val="385C02F6"/>
    <w:rsid w:val="38636B6B"/>
    <w:rsid w:val="38763ED8"/>
    <w:rsid w:val="38934A8A"/>
    <w:rsid w:val="389E51DD"/>
    <w:rsid w:val="38A81EAE"/>
    <w:rsid w:val="38AF2F46"/>
    <w:rsid w:val="38B36EDA"/>
    <w:rsid w:val="38B62526"/>
    <w:rsid w:val="38D66725"/>
    <w:rsid w:val="38E452E6"/>
    <w:rsid w:val="38EE1EE8"/>
    <w:rsid w:val="38F913A2"/>
    <w:rsid w:val="38FD63A7"/>
    <w:rsid w:val="390E601C"/>
    <w:rsid w:val="39161217"/>
    <w:rsid w:val="39184F8F"/>
    <w:rsid w:val="391A60AE"/>
    <w:rsid w:val="391D25A6"/>
    <w:rsid w:val="39207605"/>
    <w:rsid w:val="392B0C76"/>
    <w:rsid w:val="39311764"/>
    <w:rsid w:val="3934169D"/>
    <w:rsid w:val="393F42CA"/>
    <w:rsid w:val="394A2290"/>
    <w:rsid w:val="39553AED"/>
    <w:rsid w:val="39627FB8"/>
    <w:rsid w:val="396B3311"/>
    <w:rsid w:val="3971469F"/>
    <w:rsid w:val="39850133"/>
    <w:rsid w:val="39924D42"/>
    <w:rsid w:val="399A3BF6"/>
    <w:rsid w:val="39A82FD8"/>
    <w:rsid w:val="39AA2E63"/>
    <w:rsid w:val="39AD2C20"/>
    <w:rsid w:val="39B453D5"/>
    <w:rsid w:val="39B76556"/>
    <w:rsid w:val="39BC3B6C"/>
    <w:rsid w:val="39BE045B"/>
    <w:rsid w:val="39C46EC5"/>
    <w:rsid w:val="39CA4040"/>
    <w:rsid w:val="39D0586A"/>
    <w:rsid w:val="39DC420F"/>
    <w:rsid w:val="39EE5CF0"/>
    <w:rsid w:val="39F350B4"/>
    <w:rsid w:val="3A0275B6"/>
    <w:rsid w:val="3A0948D8"/>
    <w:rsid w:val="3A115958"/>
    <w:rsid w:val="3A1E65D5"/>
    <w:rsid w:val="3A282FB0"/>
    <w:rsid w:val="3A35391F"/>
    <w:rsid w:val="3A3A2CE3"/>
    <w:rsid w:val="3A485400"/>
    <w:rsid w:val="3A4F49E1"/>
    <w:rsid w:val="3A6A35C8"/>
    <w:rsid w:val="3A6F0BDF"/>
    <w:rsid w:val="3A6F5083"/>
    <w:rsid w:val="3A804B9A"/>
    <w:rsid w:val="3A881CA1"/>
    <w:rsid w:val="3A8A3C6B"/>
    <w:rsid w:val="3A945164"/>
    <w:rsid w:val="3A96260F"/>
    <w:rsid w:val="3AAD5BAB"/>
    <w:rsid w:val="3AB27E78"/>
    <w:rsid w:val="3ABA4C77"/>
    <w:rsid w:val="3AE27603"/>
    <w:rsid w:val="3AE50EA1"/>
    <w:rsid w:val="3AE710BD"/>
    <w:rsid w:val="3AF45588"/>
    <w:rsid w:val="3AF760D2"/>
    <w:rsid w:val="3B027CA5"/>
    <w:rsid w:val="3B032AC7"/>
    <w:rsid w:val="3B0D21A6"/>
    <w:rsid w:val="3B14511D"/>
    <w:rsid w:val="3B1525D0"/>
    <w:rsid w:val="3B1654FE"/>
    <w:rsid w:val="3B1B4BD6"/>
    <w:rsid w:val="3B4A33FA"/>
    <w:rsid w:val="3B5038A7"/>
    <w:rsid w:val="3B5129DA"/>
    <w:rsid w:val="3B585B17"/>
    <w:rsid w:val="3B5B1163"/>
    <w:rsid w:val="3B644C24"/>
    <w:rsid w:val="3B665BF8"/>
    <w:rsid w:val="3B7F12F6"/>
    <w:rsid w:val="3B83433F"/>
    <w:rsid w:val="3B974891"/>
    <w:rsid w:val="3BA174BE"/>
    <w:rsid w:val="3BA470A0"/>
    <w:rsid w:val="3BA66882"/>
    <w:rsid w:val="3BAC7C11"/>
    <w:rsid w:val="3BAE1BDB"/>
    <w:rsid w:val="3BBC60A6"/>
    <w:rsid w:val="3BC431AC"/>
    <w:rsid w:val="3BC51028"/>
    <w:rsid w:val="3BD17677"/>
    <w:rsid w:val="3BDD601C"/>
    <w:rsid w:val="3BF515B8"/>
    <w:rsid w:val="3BF552D1"/>
    <w:rsid w:val="3C027831"/>
    <w:rsid w:val="3C0C4260"/>
    <w:rsid w:val="3C1852A6"/>
    <w:rsid w:val="3C355E58"/>
    <w:rsid w:val="3C4B6E1C"/>
    <w:rsid w:val="3C4B742A"/>
    <w:rsid w:val="3C5F2ED5"/>
    <w:rsid w:val="3C601127"/>
    <w:rsid w:val="3C616C4D"/>
    <w:rsid w:val="3C722C08"/>
    <w:rsid w:val="3C9014A1"/>
    <w:rsid w:val="3C954D55"/>
    <w:rsid w:val="3C9B22A1"/>
    <w:rsid w:val="3C9E57AB"/>
    <w:rsid w:val="3CB23005"/>
    <w:rsid w:val="3CC04181"/>
    <w:rsid w:val="3CC66AB0"/>
    <w:rsid w:val="3CC72F54"/>
    <w:rsid w:val="3CCA47F2"/>
    <w:rsid w:val="3CD15B81"/>
    <w:rsid w:val="3CD218F9"/>
    <w:rsid w:val="3CD92605"/>
    <w:rsid w:val="3CE05DC4"/>
    <w:rsid w:val="3CE07B72"/>
    <w:rsid w:val="3CE31410"/>
    <w:rsid w:val="3CE33B06"/>
    <w:rsid w:val="3CE84C78"/>
    <w:rsid w:val="3CEE6CC7"/>
    <w:rsid w:val="3CFA35F0"/>
    <w:rsid w:val="3D006466"/>
    <w:rsid w:val="3D033860"/>
    <w:rsid w:val="3D0F2205"/>
    <w:rsid w:val="3D0F66A9"/>
    <w:rsid w:val="3D115F7D"/>
    <w:rsid w:val="3D141F11"/>
    <w:rsid w:val="3D1B504E"/>
    <w:rsid w:val="3D1D0DC6"/>
    <w:rsid w:val="3D204412"/>
    <w:rsid w:val="3D3103CE"/>
    <w:rsid w:val="3D314871"/>
    <w:rsid w:val="3D42082D"/>
    <w:rsid w:val="3D4445A5"/>
    <w:rsid w:val="3D474095"/>
    <w:rsid w:val="3D4E71D1"/>
    <w:rsid w:val="3D4F6AA6"/>
    <w:rsid w:val="3D5F13DF"/>
    <w:rsid w:val="3D60541C"/>
    <w:rsid w:val="3D677C80"/>
    <w:rsid w:val="3D864BBD"/>
    <w:rsid w:val="3D8A5D30"/>
    <w:rsid w:val="3D8C1AA8"/>
    <w:rsid w:val="3D962926"/>
    <w:rsid w:val="3D9A2417"/>
    <w:rsid w:val="3DA212CB"/>
    <w:rsid w:val="3DA2751D"/>
    <w:rsid w:val="3DC6320C"/>
    <w:rsid w:val="3DD671C7"/>
    <w:rsid w:val="3DDA0E2F"/>
    <w:rsid w:val="3DE6740A"/>
    <w:rsid w:val="3DE713D4"/>
    <w:rsid w:val="3DEB0EC4"/>
    <w:rsid w:val="3DEC0798"/>
    <w:rsid w:val="3DF02037"/>
    <w:rsid w:val="3DF338D5"/>
    <w:rsid w:val="3DFC6C2D"/>
    <w:rsid w:val="3E014244"/>
    <w:rsid w:val="3E015FF2"/>
    <w:rsid w:val="3E043D34"/>
    <w:rsid w:val="3E127058"/>
    <w:rsid w:val="3E164448"/>
    <w:rsid w:val="3E1C5F47"/>
    <w:rsid w:val="3E246184"/>
    <w:rsid w:val="3E2E0DB1"/>
    <w:rsid w:val="3E3208A1"/>
    <w:rsid w:val="3E337AC5"/>
    <w:rsid w:val="3E3D2DA2"/>
    <w:rsid w:val="3E3D5E23"/>
    <w:rsid w:val="3E46434D"/>
    <w:rsid w:val="3E4F1453"/>
    <w:rsid w:val="3E522CF1"/>
    <w:rsid w:val="3E533253"/>
    <w:rsid w:val="3E5500EC"/>
    <w:rsid w:val="3E554590"/>
    <w:rsid w:val="3E5A3954"/>
    <w:rsid w:val="3E691DE9"/>
    <w:rsid w:val="3E703177"/>
    <w:rsid w:val="3E7762B4"/>
    <w:rsid w:val="3E834C59"/>
    <w:rsid w:val="3E893C0F"/>
    <w:rsid w:val="3E9055C8"/>
    <w:rsid w:val="3E9171EE"/>
    <w:rsid w:val="3E931494"/>
    <w:rsid w:val="3E9D56B1"/>
    <w:rsid w:val="3EA11583"/>
    <w:rsid w:val="3EAE40A2"/>
    <w:rsid w:val="3EB4709E"/>
    <w:rsid w:val="3EC534C3"/>
    <w:rsid w:val="3ECA4304"/>
    <w:rsid w:val="3ECB4852"/>
    <w:rsid w:val="3ECC7DE6"/>
    <w:rsid w:val="3ED2798E"/>
    <w:rsid w:val="3EDC080D"/>
    <w:rsid w:val="3EDE4585"/>
    <w:rsid w:val="3EDE6333"/>
    <w:rsid w:val="3EE01103"/>
    <w:rsid w:val="3EE31ED9"/>
    <w:rsid w:val="3EE33949"/>
    <w:rsid w:val="3EEF0540"/>
    <w:rsid w:val="3EF67B21"/>
    <w:rsid w:val="3F087854"/>
    <w:rsid w:val="3F0A7128"/>
    <w:rsid w:val="3F205A7C"/>
    <w:rsid w:val="3F2301EA"/>
    <w:rsid w:val="3F2521B4"/>
    <w:rsid w:val="3F253F62"/>
    <w:rsid w:val="3F277CDA"/>
    <w:rsid w:val="3F281CA4"/>
    <w:rsid w:val="3F3B5533"/>
    <w:rsid w:val="3F43088C"/>
    <w:rsid w:val="3F544847"/>
    <w:rsid w:val="3F577E93"/>
    <w:rsid w:val="3F6E5909"/>
    <w:rsid w:val="3F731171"/>
    <w:rsid w:val="3F836EDA"/>
    <w:rsid w:val="3F870779"/>
    <w:rsid w:val="3F9133A5"/>
    <w:rsid w:val="3F917849"/>
    <w:rsid w:val="3F9457EA"/>
    <w:rsid w:val="3F95733A"/>
    <w:rsid w:val="3F9904AC"/>
    <w:rsid w:val="3F9D4347"/>
    <w:rsid w:val="3FA550A3"/>
    <w:rsid w:val="3FB11C9A"/>
    <w:rsid w:val="3FB62E0C"/>
    <w:rsid w:val="3FB84DD6"/>
    <w:rsid w:val="3FB928FC"/>
    <w:rsid w:val="3FC90D91"/>
    <w:rsid w:val="3FCC0881"/>
    <w:rsid w:val="3FD55988"/>
    <w:rsid w:val="3FD6525C"/>
    <w:rsid w:val="3FDD3C4C"/>
    <w:rsid w:val="3FE3703A"/>
    <w:rsid w:val="3FF12096"/>
    <w:rsid w:val="400242A3"/>
    <w:rsid w:val="400C6EA0"/>
    <w:rsid w:val="401A783F"/>
    <w:rsid w:val="401F4E55"/>
    <w:rsid w:val="402204A1"/>
    <w:rsid w:val="402A5AE4"/>
    <w:rsid w:val="402C1320"/>
    <w:rsid w:val="402E32EA"/>
    <w:rsid w:val="402F4A26"/>
    <w:rsid w:val="40560A1F"/>
    <w:rsid w:val="405C1C05"/>
    <w:rsid w:val="406646E0"/>
    <w:rsid w:val="406D3E12"/>
    <w:rsid w:val="40752CC7"/>
    <w:rsid w:val="40880C4C"/>
    <w:rsid w:val="409C0254"/>
    <w:rsid w:val="409F5F96"/>
    <w:rsid w:val="40A435AC"/>
    <w:rsid w:val="40AF442B"/>
    <w:rsid w:val="40BA692C"/>
    <w:rsid w:val="40C166CB"/>
    <w:rsid w:val="40C63523"/>
    <w:rsid w:val="40CF687B"/>
    <w:rsid w:val="40D20119"/>
    <w:rsid w:val="40D6344B"/>
    <w:rsid w:val="40FB141E"/>
    <w:rsid w:val="40FB4241"/>
    <w:rsid w:val="411029F0"/>
    <w:rsid w:val="41175B2C"/>
    <w:rsid w:val="412966BC"/>
    <w:rsid w:val="41352F30"/>
    <w:rsid w:val="413C6193"/>
    <w:rsid w:val="414508EB"/>
    <w:rsid w:val="41526B64"/>
    <w:rsid w:val="41565511"/>
    <w:rsid w:val="415A6F31"/>
    <w:rsid w:val="416A65A4"/>
    <w:rsid w:val="417259DD"/>
    <w:rsid w:val="417967E7"/>
    <w:rsid w:val="417B4FCC"/>
    <w:rsid w:val="41894C7C"/>
    <w:rsid w:val="418E68CE"/>
    <w:rsid w:val="41A74A4C"/>
    <w:rsid w:val="41B33AA7"/>
    <w:rsid w:val="41BB295C"/>
    <w:rsid w:val="41BE41FA"/>
    <w:rsid w:val="41DB4DAC"/>
    <w:rsid w:val="41DD72D9"/>
    <w:rsid w:val="41F45E6E"/>
    <w:rsid w:val="41FD290E"/>
    <w:rsid w:val="42031997"/>
    <w:rsid w:val="42162288"/>
    <w:rsid w:val="421B789E"/>
    <w:rsid w:val="42224789"/>
    <w:rsid w:val="422C3859"/>
    <w:rsid w:val="42336996"/>
    <w:rsid w:val="423948E8"/>
    <w:rsid w:val="42395747"/>
    <w:rsid w:val="42470693"/>
    <w:rsid w:val="425014D4"/>
    <w:rsid w:val="425D01A5"/>
    <w:rsid w:val="425F59DD"/>
    <w:rsid w:val="42761AE1"/>
    <w:rsid w:val="4283791D"/>
    <w:rsid w:val="42892A5A"/>
    <w:rsid w:val="428B0580"/>
    <w:rsid w:val="4290203A"/>
    <w:rsid w:val="42A33B1C"/>
    <w:rsid w:val="42A653BA"/>
    <w:rsid w:val="42AB29D0"/>
    <w:rsid w:val="42B5586A"/>
    <w:rsid w:val="42B9333F"/>
    <w:rsid w:val="42BF46CD"/>
    <w:rsid w:val="42C924A2"/>
    <w:rsid w:val="42CB5944"/>
    <w:rsid w:val="42D068DB"/>
    <w:rsid w:val="42E14644"/>
    <w:rsid w:val="42E859D2"/>
    <w:rsid w:val="42F3746F"/>
    <w:rsid w:val="42F425C9"/>
    <w:rsid w:val="42FB3B45"/>
    <w:rsid w:val="42FF2D1C"/>
    <w:rsid w:val="43217136"/>
    <w:rsid w:val="432B1D63"/>
    <w:rsid w:val="43374264"/>
    <w:rsid w:val="434D7737"/>
    <w:rsid w:val="435E3EE6"/>
    <w:rsid w:val="435E7A42"/>
    <w:rsid w:val="437159C8"/>
    <w:rsid w:val="437D25BE"/>
    <w:rsid w:val="43805C0B"/>
    <w:rsid w:val="438356FB"/>
    <w:rsid w:val="4387343D"/>
    <w:rsid w:val="4388783E"/>
    <w:rsid w:val="43923B90"/>
    <w:rsid w:val="43947908"/>
    <w:rsid w:val="43963680"/>
    <w:rsid w:val="43A51B15"/>
    <w:rsid w:val="43B5335A"/>
    <w:rsid w:val="43B9736F"/>
    <w:rsid w:val="43CA157C"/>
    <w:rsid w:val="43CF0940"/>
    <w:rsid w:val="43CF6B92"/>
    <w:rsid w:val="43D30430"/>
    <w:rsid w:val="43D75AF7"/>
    <w:rsid w:val="43D917BF"/>
    <w:rsid w:val="43DF1E62"/>
    <w:rsid w:val="43E02B4D"/>
    <w:rsid w:val="44004F9E"/>
    <w:rsid w:val="440732A3"/>
    <w:rsid w:val="441B1DD7"/>
    <w:rsid w:val="441F5424"/>
    <w:rsid w:val="441F6531"/>
    <w:rsid w:val="44337121"/>
    <w:rsid w:val="44393D26"/>
    <w:rsid w:val="444035EC"/>
    <w:rsid w:val="444255B6"/>
    <w:rsid w:val="44483A79"/>
    <w:rsid w:val="444906F3"/>
    <w:rsid w:val="44586B88"/>
    <w:rsid w:val="445A2900"/>
    <w:rsid w:val="445B0426"/>
    <w:rsid w:val="44623562"/>
    <w:rsid w:val="44670B79"/>
    <w:rsid w:val="447B4624"/>
    <w:rsid w:val="448654A3"/>
    <w:rsid w:val="448B0D0B"/>
    <w:rsid w:val="44915BF6"/>
    <w:rsid w:val="449D55F0"/>
    <w:rsid w:val="44A27E03"/>
    <w:rsid w:val="44D6506C"/>
    <w:rsid w:val="44E268DA"/>
    <w:rsid w:val="44E346A3"/>
    <w:rsid w:val="44ED72D0"/>
    <w:rsid w:val="44EE3048"/>
    <w:rsid w:val="44F248E6"/>
    <w:rsid w:val="44F3065E"/>
    <w:rsid w:val="44F71EFD"/>
    <w:rsid w:val="45014E2D"/>
    <w:rsid w:val="450E5056"/>
    <w:rsid w:val="451A3E3D"/>
    <w:rsid w:val="451C75C1"/>
    <w:rsid w:val="451E392D"/>
    <w:rsid w:val="4537221B"/>
    <w:rsid w:val="45455204"/>
    <w:rsid w:val="454A4722"/>
    <w:rsid w:val="45576E3F"/>
    <w:rsid w:val="455C4456"/>
    <w:rsid w:val="45617CBE"/>
    <w:rsid w:val="45652754"/>
    <w:rsid w:val="4565330A"/>
    <w:rsid w:val="456A4DC4"/>
    <w:rsid w:val="45701CAF"/>
    <w:rsid w:val="45725A27"/>
    <w:rsid w:val="457A4E8B"/>
    <w:rsid w:val="457C68A6"/>
    <w:rsid w:val="45897DF5"/>
    <w:rsid w:val="458D59B9"/>
    <w:rsid w:val="45994725"/>
    <w:rsid w:val="459B4F7E"/>
    <w:rsid w:val="45A007E6"/>
    <w:rsid w:val="45A26AD4"/>
    <w:rsid w:val="45AD5748"/>
    <w:rsid w:val="45B222C8"/>
    <w:rsid w:val="45B95404"/>
    <w:rsid w:val="45BD64B2"/>
    <w:rsid w:val="45BE0C6C"/>
    <w:rsid w:val="45BF1718"/>
    <w:rsid w:val="45C1177C"/>
    <w:rsid w:val="45C30031"/>
    <w:rsid w:val="45C5024D"/>
    <w:rsid w:val="45D16BF2"/>
    <w:rsid w:val="45D73ADC"/>
    <w:rsid w:val="45DC10F2"/>
    <w:rsid w:val="45DE453C"/>
    <w:rsid w:val="45DF08CE"/>
    <w:rsid w:val="45E71F71"/>
    <w:rsid w:val="45E83F3B"/>
    <w:rsid w:val="46020B59"/>
    <w:rsid w:val="4615580A"/>
    <w:rsid w:val="46184820"/>
    <w:rsid w:val="461B1575"/>
    <w:rsid w:val="461B60BF"/>
    <w:rsid w:val="462A00B0"/>
    <w:rsid w:val="462C207A"/>
    <w:rsid w:val="462E5DF2"/>
    <w:rsid w:val="463D6035"/>
    <w:rsid w:val="464949DA"/>
    <w:rsid w:val="464B4EF8"/>
    <w:rsid w:val="464E2466"/>
    <w:rsid w:val="46503409"/>
    <w:rsid w:val="46584C1D"/>
    <w:rsid w:val="465869CB"/>
    <w:rsid w:val="465B64BB"/>
    <w:rsid w:val="4662784A"/>
    <w:rsid w:val="466C2476"/>
    <w:rsid w:val="46733805"/>
    <w:rsid w:val="467500B3"/>
    <w:rsid w:val="468F4883"/>
    <w:rsid w:val="46A5060D"/>
    <w:rsid w:val="46A9191C"/>
    <w:rsid w:val="46B53E1D"/>
    <w:rsid w:val="46CB3641"/>
    <w:rsid w:val="46DF0E9A"/>
    <w:rsid w:val="46E510A4"/>
    <w:rsid w:val="46E63930"/>
    <w:rsid w:val="46E81166"/>
    <w:rsid w:val="46E97F6B"/>
    <w:rsid w:val="46F34946"/>
    <w:rsid w:val="46F72688"/>
    <w:rsid w:val="470B1C8F"/>
    <w:rsid w:val="47176886"/>
    <w:rsid w:val="471C5C4A"/>
    <w:rsid w:val="47241B63"/>
    <w:rsid w:val="472A41BF"/>
    <w:rsid w:val="47305B9A"/>
    <w:rsid w:val="474358CD"/>
    <w:rsid w:val="4746716B"/>
    <w:rsid w:val="47482EE3"/>
    <w:rsid w:val="474B4782"/>
    <w:rsid w:val="474B478B"/>
    <w:rsid w:val="47507FEA"/>
    <w:rsid w:val="47515EB8"/>
    <w:rsid w:val="475401B6"/>
    <w:rsid w:val="47594790"/>
    <w:rsid w:val="47631ACB"/>
    <w:rsid w:val="476A10AC"/>
    <w:rsid w:val="476F3F83"/>
    <w:rsid w:val="47797541"/>
    <w:rsid w:val="477A4523"/>
    <w:rsid w:val="477C493B"/>
    <w:rsid w:val="47811F51"/>
    <w:rsid w:val="47841A42"/>
    <w:rsid w:val="47863A0C"/>
    <w:rsid w:val="478B1022"/>
    <w:rsid w:val="478B4B7E"/>
    <w:rsid w:val="47A45C40"/>
    <w:rsid w:val="47AA14A8"/>
    <w:rsid w:val="47AB6F90"/>
    <w:rsid w:val="47B24801"/>
    <w:rsid w:val="47B265AF"/>
    <w:rsid w:val="47B84C39"/>
    <w:rsid w:val="47BE4F54"/>
    <w:rsid w:val="47BE6D02"/>
    <w:rsid w:val="47C12A09"/>
    <w:rsid w:val="47C322DB"/>
    <w:rsid w:val="47C36A0E"/>
    <w:rsid w:val="47DC187E"/>
    <w:rsid w:val="47E0136E"/>
    <w:rsid w:val="47E02BA4"/>
    <w:rsid w:val="480908C5"/>
    <w:rsid w:val="480D7C89"/>
    <w:rsid w:val="48117779"/>
    <w:rsid w:val="482A4397"/>
    <w:rsid w:val="484E7100"/>
    <w:rsid w:val="484E7228"/>
    <w:rsid w:val="484F07EE"/>
    <w:rsid w:val="48555FC9"/>
    <w:rsid w:val="48645AFB"/>
    <w:rsid w:val="486E697A"/>
    <w:rsid w:val="487A7276"/>
    <w:rsid w:val="487D4E0F"/>
    <w:rsid w:val="487F0B87"/>
    <w:rsid w:val="48872306"/>
    <w:rsid w:val="489D100D"/>
    <w:rsid w:val="48A65F67"/>
    <w:rsid w:val="48AE4431"/>
    <w:rsid w:val="48B34AFA"/>
    <w:rsid w:val="48B63E7D"/>
    <w:rsid w:val="48BB1493"/>
    <w:rsid w:val="48BF2D31"/>
    <w:rsid w:val="48C90054"/>
    <w:rsid w:val="48CB5B7A"/>
    <w:rsid w:val="48CE566A"/>
    <w:rsid w:val="48DA7B6B"/>
    <w:rsid w:val="48E7672C"/>
    <w:rsid w:val="48FC3F85"/>
    <w:rsid w:val="490E1F0B"/>
    <w:rsid w:val="49136638"/>
    <w:rsid w:val="49164ACF"/>
    <w:rsid w:val="491E7603"/>
    <w:rsid w:val="49284D7B"/>
    <w:rsid w:val="492B03C7"/>
    <w:rsid w:val="492B486B"/>
    <w:rsid w:val="492C413F"/>
    <w:rsid w:val="492E6109"/>
    <w:rsid w:val="492E71C9"/>
    <w:rsid w:val="493607B8"/>
    <w:rsid w:val="493D2CB0"/>
    <w:rsid w:val="49470F79"/>
    <w:rsid w:val="495430AE"/>
    <w:rsid w:val="495A5150"/>
    <w:rsid w:val="495D408B"/>
    <w:rsid w:val="495F62C2"/>
    <w:rsid w:val="49641B2B"/>
    <w:rsid w:val="496833C9"/>
    <w:rsid w:val="49697141"/>
    <w:rsid w:val="496D6C31"/>
    <w:rsid w:val="496E6505"/>
    <w:rsid w:val="49845D29"/>
    <w:rsid w:val="499C75A9"/>
    <w:rsid w:val="49AB1508"/>
    <w:rsid w:val="49AF724A"/>
    <w:rsid w:val="49B831FC"/>
    <w:rsid w:val="49BC1967"/>
    <w:rsid w:val="49BD0CBA"/>
    <w:rsid w:val="49E05655"/>
    <w:rsid w:val="49EF7646"/>
    <w:rsid w:val="49FD55C6"/>
    <w:rsid w:val="4A1E7F2C"/>
    <w:rsid w:val="4A4554B8"/>
    <w:rsid w:val="4A4F733F"/>
    <w:rsid w:val="4A54394D"/>
    <w:rsid w:val="4A5C2802"/>
    <w:rsid w:val="4A621C58"/>
    <w:rsid w:val="4A674189"/>
    <w:rsid w:val="4A775A90"/>
    <w:rsid w:val="4A993A56"/>
    <w:rsid w:val="4A9F72BE"/>
    <w:rsid w:val="4AA30431"/>
    <w:rsid w:val="4AA541A9"/>
    <w:rsid w:val="4AB26D13"/>
    <w:rsid w:val="4ABA5255"/>
    <w:rsid w:val="4ABA644D"/>
    <w:rsid w:val="4ABE526B"/>
    <w:rsid w:val="4ACC3E2B"/>
    <w:rsid w:val="4AD07E46"/>
    <w:rsid w:val="4AD30D16"/>
    <w:rsid w:val="4AD66A58"/>
    <w:rsid w:val="4AEE3CF6"/>
    <w:rsid w:val="4AF07B1A"/>
    <w:rsid w:val="4AFB201B"/>
    <w:rsid w:val="4AFC7650"/>
    <w:rsid w:val="4AFC7BF7"/>
    <w:rsid w:val="4B005883"/>
    <w:rsid w:val="4B0954DF"/>
    <w:rsid w:val="4B117867"/>
    <w:rsid w:val="4B2656EF"/>
    <w:rsid w:val="4B38326F"/>
    <w:rsid w:val="4B47726B"/>
    <w:rsid w:val="4B4B2FA2"/>
    <w:rsid w:val="4B4E0814"/>
    <w:rsid w:val="4B5736F5"/>
    <w:rsid w:val="4B5C6F5D"/>
    <w:rsid w:val="4B683B54"/>
    <w:rsid w:val="4B6D116B"/>
    <w:rsid w:val="4B7324F9"/>
    <w:rsid w:val="4B7E7B0B"/>
    <w:rsid w:val="4B83098E"/>
    <w:rsid w:val="4B9304A5"/>
    <w:rsid w:val="4B9D30D2"/>
    <w:rsid w:val="4B9D6218"/>
    <w:rsid w:val="4BAD5A0B"/>
    <w:rsid w:val="4BAF07EE"/>
    <w:rsid w:val="4BB943B0"/>
    <w:rsid w:val="4BBA1ED6"/>
    <w:rsid w:val="4BBC369E"/>
    <w:rsid w:val="4BD60DDC"/>
    <w:rsid w:val="4BD74836"/>
    <w:rsid w:val="4BE156B5"/>
    <w:rsid w:val="4BE56F53"/>
    <w:rsid w:val="4BEB208F"/>
    <w:rsid w:val="4BF52F0E"/>
    <w:rsid w:val="4BF70A34"/>
    <w:rsid w:val="4BF76C86"/>
    <w:rsid w:val="4C07648F"/>
    <w:rsid w:val="4C093625"/>
    <w:rsid w:val="4C0D2006"/>
    <w:rsid w:val="4C147838"/>
    <w:rsid w:val="4C15535E"/>
    <w:rsid w:val="4C1748DF"/>
    <w:rsid w:val="4C32240E"/>
    <w:rsid w:val="4C361B10"/>
    <w:rsid w:val="4C392DFB"/>
    <w:rsid w:val="4C3954F1"/>
    <w:rsid w:val="4C3E48B5"/>
    <w:rsid w:val="4C4719BC"/>
    <w:rsid w:val="4C4A2DFE"/>
    <w:rsid w:val="4C523EBC"/>
    <w:rsid w:val="4C5440D8"/>
    <w:rsid w:val="4C577725"/>
    <w:rsid w:val="4C5916EF"/>
    <w:rsid w:val="4C72455F"/>
    <w:rsid w:val="4C800A2A"/>
    <w:rsid w:val="4C9110DD"/>
    <w:rsid w:val="4CA02851"/>
    <w:rsid w:val="4CB132D9"/>
    <w:rsid w:val="4CB6269D"/>
    <w:rsid w:val="4CBF0B1D"/>
    <w:rsid w:val="4CC27294"/>
    <w:rsid w:val="4CC72AFC"/>
    <w:rsid w:val="4CCD4385"/>
    <w:rsid w:val="4CDA16DC"/>
    <w:rsid w:val="4CDA6125"/>
    <w:rsid w:val="4CDD5E7C"/>
    <w:rsid w:val="4CE74F4D"/>
    <w:rsid w:val="4CEC4311"/>
    <w:rsid w:val="4CF51418"/>
    <w:rsid w:val="4CFB4554"/>
    <w:rsid w:val="4CFB6302"/>
    <w:rsid w:val="4D0043E5"/>
    <w:rsid w:val="4D040FF2"/>
    <w:rsid w:val="4D04165B"/>
    <w:rsid w:val="4D0E7E15"/>
    <w:rsid w:val="4D1473C4"/>
    <w:rsid w:val="4D186EB4"/>
    <w:rsid w:val="4D265A75"/>
    <w:rsid w:val="4D297313"/>
    <w:rsid w:val="4D371A30"/>
    <w:rsid w:val="4D381304"/>
    <w:rsid w:val="4D44414D"/>
    <w:rsid w:val="4D447CA9"/>
    <w:rsid w:val="4D497B60"/>
    <w:rsid w:val="4D53619F"/>
    <w:rsid w:val="4D6420F9"/>
    <w:rsid w:val="4D6C0FAE"/>
    <w:rsid w:val="4D6C7200"/>
    <w:rsid w:val="4D6D36A4"/>
    <w:rsid w:val="4D700A9E"/>
    <w:rsid w:val="4D7F5185"/>
    <w:rsid w:val="4D826A23"/>
    <w:rsid w:val="4D84435D"/>
    <w:rsid w:val="4D862070"/>
    <w:rsid w:val="4D8E361A"/>
    <w:rsid w:val="4D903609"/>
    <w:rsid w:val="4D9329DF"/>
    <w:rsid w:val="4D9D2877"/>
    <w:rsid w:val="4DB36BDD"/>
    <w:rsid w:val="4DB82445"/>
    <w:rsid w:val="4DC85683"/>
    <w:rsid w:val="4DD04C43"/>
    <w:rsid w:val="4DD3597D"/>
    <w:rsid w:val="4DE60D60"/>
    <w:rsid w:val="4DF01BDF"/>
    <w:rsid w:val="4E031912"/>
    <w:rsid w:val="4E105DDD"/>
    <w:rsid w:val="4E271886"/>
    <w:rsid w:val="4E30647F"/>
    <w:rsid w:val="4E481A1B"/>
    <w:rsid w:val="4E48737C"/>
    <w:rsid w:val="4E4D0DDF"/>
    <w:rsid w:val="4E4D6B22"/>
    <w:rsid w:val="4E555EE6"/>
    <w:rsid w:val="4E5C7274"/>
    <w:rsid w:val="4E5E123E"/>
    <w:rsid w:val="4E7B594C"/>
    <w:rsid w:val="4E7E368F"/>
    <w:rsid w:val="4E834801"/>
    <w:rsid w:val="4E9F44B9"/>
    <w:rsid w:val="4EA56E6D"/>
    <w:rsid w:val="4EA604F0"/>
    <w:rsid w:val="4EAA64AC"/>
    <w:rsid w:val="4EB60932"/>
    <w:rsid w:val="4EB8094F"/>
    <w:rsid w:val="4ECF5C98"/>
    <w:rsid w:val="4ED35788"/>
    <w:rsid w:val="4EE002CE"/>
    <w:rsid w:val="4F0040A4"/>
    <w:rsid w:val="4F2953A8"/>
    <w:rsid w:val="4F2A2ECF"/>
    <w:rsid w:val="4F2C4E99"/>
    <w:rsid w:val="4F42646A"/>
    <w:rsid w:val="4F4E640C"/>
    <w:rsid w:val="4F587A3C"/>
    <w:rsid w:val="4F5F701C"/>
    <w:rsid w:val="4F622668"/>
    <w:rsid w:val="4F6E54B1"/>
    <w:rsid w:val="4F730D1A"/>
    <w:rsid w:val="4F7D74A2"/>
    <w:rsid w:val="4F9273F2"/>
    <w:rsid w:val="4F934F18"/>
    <w:rsid w:val="4F936CC6"/>
    <w:rsid w:val="4F950C90"/>
    <w:rsid w:val="4FB70C06"/>
    <w:rsid w:val="4FBC3B3C"/>
    <w:rsid w:val="4FCE7CFE"/>
    <w:rsid w:val="4FD615AF"/>
    <w:rsid w:val="4FD702E1"/>
    <w:rsid w:val="4FD74E04"/>
    <w:rsid w:val="4FDC066D"/>
    <w:rsid w:val="4FE85264"/>
    <w:rsid w:val="4FF05367"/>
    <w:rsid w:val="4FF754A7"/>
    <w:rsid w:val="4FF97471"/>
    <w:rsid w:val="4FFA58EB"/>
    <w:rsid w:val="4FFC0D0F"/>
    <w:rsid w:val="50017567"/>
    <w:rsid w:val="5012408F"/>
    <w:rsid w:val="50125E3D"/>
    <w:rsid w:val="501A1195"/>
    <w:rsid w:val="502F4C40"/>
    <w:rsid w:val="50371D47"/>
    <w:rsid w:val="503B1837"/>
    <w:rsid w:val="504752A8"/>
    <w:rsid w:val="5051105B"/>
    <w:rsid w:val="50574197"/>
    <w:rsid w:val="505C355C"/>
    <w:rsid w:val="50650662"/>
    <w:rsid w:val="50681F00"/>
    <w:rsid w:val="506A211C"/>
    <w:rsid w:val="5083648A"/>
    <w:rsid w:val="5086682B"/>
    <w:rsid w:val="50873A87"/>
    <w:rsid w:val="508B5BEF"/>
    <w:rsid w:val="509727E6"/>
    <w:rsid w:val="50A373DC"/>
    <w:rsid w:val="50B02199"/>
    <w:rsid w:val="50B138A7"/>
    <w:rsid w:val="50BA65E4"/>
    <w:rsid w:val="50CC6933"/>
    <w:rsid w:val="50D35F69"/>
    <w:rsid w:val="50D4718B"/>
    <w:rsid w:val="50D61560"/>
    <w:rsid w:val="50D77086"/>
    <w:rsid w:val="50DA2DB1"/>
    <w:rsid w:val="50E0418D"/>
    <w:rsid w:val="50E05F3B"/>
    <w:rsid w:val="50E2722A"/>
    <w:rsid w:val="50F6750C"/>
    <w:rsid w:val="51257DF2"/>
    <w:rsid w:val="512B3998"/>
    <w:rsid w:val="513049B0"/>
    <w:rsid w:val="5133250E"/>
    <w:rsid w:val="51457FB3"/>
    <w:rsid w:val="51463765"/>
    <w:rsid w:val="51551F16"/>
    <w:rsid w:val="515A3F3F"/>
    <w:rsid w:val="51624BA2"/>
    <w:rsid w:val="51646B6C"/>
    <w:rsid w:val="51750D79"/>
    <w:rsid w:val="51752B27"/>
    <w:rsid w:val="518B234A"/>
    <w:rsid w:val="518C60C3"/>
    <w:rsid w:val="51962A9D"/>
    <w:rsid w:val="51990D26"/>
    <w:rsid w:val="51B51175"/>
    <w:rsid w:val="51BB2504"/>
    <w:rsid w:val="51C92E73"/>
    <w:rsid w:val="51E23F34"/>
    <w:rsid w:val="51FF0643"/>
    <w:rsid w:val="52021EE1"/>
    <w:rsid w:val="52067C23"/>
    <w:rsid w:val="52081BED"/>
    <w:rsid w:val="52106488"/>
    <w:rsid w:val="52151C14"/>
    <w:rsid w:val="52187956"/>
    <w:rsid w:val="521B1F42"/>
    <w:rsid w:val="52306A4E"/>
    <w:rsid w:val="52466271"/>
    <w:rsid w:val="52506FD5"/>
    <w:rsid w:val="52554706"/>
    <w:rsid w:val="525748A7"/>
    <w:rsid w:val="5264494A"/>
    <w:rsid w:val="5268268C"/>
    <w:rsid w:val="52687BCC"/>
    <w:rsid w:val="52697C00"/>
    <w:rsid w:val="526A6404"/>
    <w:rsid w:val="526B5CD8"/>
    <w:rsid w:val="526E7576"/>
    <w:rsid w:val="526E7B9F"/>
    <w:rsid w:val="52775526"/>
    <w:rsid w:val="52796647"/>
    <w:rsid w:val="528B0128"/>
    <w:rsid w:val="528F5E6A"/>
    <w:rsid w:val="52912E2A"/>
    <w:rsid w:val="52923C71"/>
    <w:rsid w:val="5297783E"/>
    <w:rsid w:val="52A01E26"/>
    <w:rsid w:val="52A1794C"/>
    <w:rsid w:val="52A35715"/>
    <w:rsid w:val="52AB4D04"/>
    <w:rsid w:val="52B72CCB"/>
    <w:rsid w:val="52B753C1"/>
    <w:rsid w:val="52BC6534"/>
    <w:rsid w:val="52C23625"/>
    <w:rsid w:val="52C33D66"/>
    <w:rsid w:val="52C553E8"/>
    <w:rsid w:val="52C61160"/>
    <w:rsid w:val="52CB6777"/>
    <w:rsid w:val="52CF6267"/>
    <w:rsid w:val="52D71C8F"/>
    <w:rsid w:val="52DE46FC"/>
    <w:rsid w:val="52E2243E"/>
    <w:rsid w:val="52E43E80"/>
    <w:rsid w:val="52E57838"/>
    <w:rsid w:val="52E71802"/>
    <w:rsid w:val="5311687F"/>
    <w:rsid w:val="53165C44"/>
    <w:rsid w:val="531770AA"/>
    <w:rsid w:val="53177C0E"/>
    <w:rsid w:val="533F6E7C"/>
    <w:rsid w:val="53426A39"/>
    <w:rsid w:val="53446C55"/>
    <w:rsid w:val="534529CD"/>
    <w:rsid w:val="535B5D4C"/>
    <w:rsid w:val="53621A67"/>
    <w:rsid w:val="536270DB"/>
    <w:rsid w:val="536C1D08"/>
    <w:rsid w:val="53760DD8"/>
    <w:rsid w:val="537806AC"/>
    <w:rsid w:val="537F5EDF"/>
    <w:rsid w:val="538452A3"/>
    <w:rsid w:val="5385101B"/>
    <w:rsid w:val="538A03E0"/>
    <w:rsid w:val="538C4158"/>
    <w:rsid w:val="5391176E"/>
    <w:rsid w:val="53A21BCD"/>
    <w:rsid w:val="53AA2830"/>
    <w:rsid w:val="53AE0572"/>
    <w:rsid w:val="53B67427"/>
    <w:rsid w:val="53C625EC"/>
    <w:rsid w:val="53CE4770"/>
    <w:rsid w:val="53D14261"/>
    <w:rsid w:val="53D8739D"/>
    <w:rsid w:val="53DD76D7"/>
    <w:rsid w:val="53E2021C"/>
    <w:rsid w:val="53F2507B"/>
    <w:rsid w:val="53F341D7"/>
    <w:rsid w:val="53F65A75"/>
    <w:rsid w:val="53F73CC7"/>
    <w:rsid w:val="53F87A3F"/>
    <w:rsid w:val="540463E4"/>
    <w:rsid w:val="54092EF7"/>
    <w:rsid w:val="54183C3E"/>
    <w:rsid w:val="541F052E"/>
    <w:rsid w:val="5430318F"/>
    <w:rsid w:val="544A49D8"/>
    <w:rsid w:val="544D38E7"/>
    <w:rsid w:val="5455533A"/>
    <w:rsid w:val="545F7ABE"/>
    <w:rsid w:val="54754A54"/>
    <w:rsid w:val="54790B80"/>
    <w:rsid w:val="547D408D"/>
    <w:rsid w:val="5483555B"/>
    <w:rsid w:val="548412D3"/>
    <w:rsid w:val="5486504B"/>
    <w:rsid w:val="548B12AF"/>
    <w:rsid w:val="549726A6"/>
    <w:rsid w:val="54996B2C"/>
    <w:rsid w:val="549B771C"/>
    <w:rsid w:val="549E3947"/>
    <w:rsid w:val="54A11E85"/>
    <w:rsid w:val="54A379AB"/>
    <w:rsid w:val="54A92AE8"/>
    <w:rsid w:val="54AD082A"/>
    <w:rsid w:val="54C94F38"/>
    <w:rsid w:val="54CD67D6"/>
    <w:rsid w:val="54D77655"/>
    <w:rsid w:val="54DE09E3"/>
    <w:rsid w:val="54F83E79"/>
    <w:rsid w:val="54F9581D"/>
    <w:rsid w:val="54FC530D"/>
    <w:rsid w:val="55276851"/>
    <w:rsid w:val="55425416"/>
    <w:rsid w:val="555313D1"/>
    <w:rsid w:val="55546EF7"/>
    <w:rsid w:val="555A7575"/>
    <w:rsid w:val="556C2493"/>
    <w:rsid w:val="558C48E3"/>
    <w:rsid w:val="55924449"/>
    <w:rsid w:val="559A7000"/>
    <w:rsid w:val="55A7171D"/>
    <w:rsid w:val="55A756A6"/>
    <w:rsid w:val="55B01B09"/>
    <w:rsid w:val="55B31E70"/>
    <w:rsid w:val="55B41D2B"/>
    <w:rsid w:val="55B654BC"/>
    <w:rsid w:val="55B856D8"/>
    <w:rsid w:val="55BD684B"/>
    <w:rsid w:val="55CE0A58"/>
    <w:rsid w:val="55CE7988"/>
    <w:rsid w:val="55CF47D0"/>
    <w:rsid w:val="55E52E2A"/>
    <w:rsid w:val="55E71B19"/>
    <w:rsid w:val="55E77D6B"/>
    <w:rsid w:val="55EB126A"/>
    <w:rsid w:val="55EB160A"/>
    <w:rsid w:val="55EC5382"/>
    <w:rsid w:val="55ED22FF"/>
    <w:rsid w:val="55F04E72"/>
    <w:rsid w:val="55F12998"/>
    <w:rsid w:val="55F304BE"/>
    <w:rsid w:val="560428B2"/>
    <w:rsid w:val="56064695"/>
    <w:rsid w:val="561D19DF"/>
    <w:rsid w:val="56206DD9"/>
    <w:rsid w:val="56244B1C"/>
    <w:rsid w:val="5632283D"/>
    <w:rsid w:val="56336B0D"/>
    <w:rsid w:val="56811F6E"/>
    <w:rsid w:val="56867584"/>
    <w:rsid w:val="568B4B9B"/>
    <w:rsid w:val="569577C7"/>
    <w:rsid w:val="569752EE"/>
    <w:rsid w:val="5697709C"/>
    <w:rsid w:val="569A4322"/>
    <w:rsid w:val="56AF6ADB"/>
    <w:rsid w:val="56B20379"/>
    <w:rsid w:val="56BA0FDC"/>
    <w:rsid w:val="56C854A7"/>
    <w:rsid w:val="56D7393C"/>
    <w:rsid w:val="56DC71A4"/>
    <w:rsid w:val="56E30533"/>
    <w:rsid w:val="56EB3E63"/>
    <w:rsid w:val="56EF6ED8"/>
    <w:rsid w:val="56FA587C"/>
    <w:rsid w:val="57030BD5"/>
    <w:rsid w:val="571132F2"/>
    <w:rsid w:val="57194174"/>
    <w:rsid w:val="572528F9"/>
    <w:rsid w:val="5726041F"/>
    <w:rsid w:val="57272B15"/>
    <w:rsid w:val="5728768E"/>
    <w:rsid w:val="572E5430"/>
    <w:rsid w:val="573C7C43"/>
    <w:rsid w:val="57480E56"/>
    <w:rsid w:val="57482A8C"/>
    <w:rsid w:val="574F5BC8"/>
    <w:rsid w:val="57574A7D"/>
    <w:rsid w:val="576A0C54"/>
    <w:rsid w:val="57743881"/>
    <w:rsid w:val="5774562F"/>
    <w:rsid w:val="57764713"/>
    <w:rsid w:val="57792C45"/>
    <w:rsid w:val="5781074D"/>
    <w:rsid w:val="57833AC4"/>
    <w:rsid w:val="57911D3D"/>
    <w:rsid w:val="579637F7"/>
    <w:rsid w:val="57985975"/>
    <w:rsid w:val="579A6F49"/>
    <w:rsid w:val="57A31A70"/>
    <w:rsid w:val="57A827B7"/>
    <w:rsid w:val="57AC4DC9"/>
    <w:rsid w:val="57AE2571"/>
    <w:rsid w:val="57AF0C3B"/>
    <w:rsid w:val="57B1418D"/>
    <w:rsid w:val="57C00874"/>
    <w:rsid w:val="57C32112"/>
    <w:rsid w:val="57C55E8A"/>
    <w:rsid w:val="57CE11E3"/>
    <w:rsid w:val="57D7222F"/>
    <w:rsid w:val="57D936E4"/>
    <w:rsid w:val="57DC4E45"/>
    <w:rsid w:val="57DD1426"/>
    <w:rsid w:val="57E0285A"/>
    <w:rsid w:val="57EA769F"/>
    <w:rsid w:val="57F124AD"/>
    <w:rsid w:val="580249E9"/>
    <w:rsid w:val="5806097D"/>
    <w:rsid w:val="5809221B"/>
    <w:rsid w:val="580C1D0B"/>
    <w:rsid w:val="58240E03"/>
    <w:rsid w:val="58242BB1"/>
    <w:rsid w:val="58247055"/>
    <w:rsid w:val="582E3A30"/>
    <w:rsid w:val="58363AD1"/>
    <w:rsid w:val="5842572D"/>
    <w:rsid w:val="58445001"/>
    <w:rsid w:val="585316E8"/>
    <w:rsid w:val="585F62DF"/>
    <w:rsid w:val="586321FD"/>
    <w:rsid w:val="586456A3"/>
    <w:rsid w:val="58690F0C"/>
    <w:rsid w:val="5870229A"/>
    <w:rsid w:val="58705DF6"/>
    <w:rsid w:val="587764D9"/>
    <w:rsid w:val="587F072F"/>
    <w:rsid w:val="587F16C3"/>
    <w:rsid w:val="5889335C"/>
    <w:rsid w:val="588E2720"/>
    <w:rsid w:val="5890055A"/>
    <w:rsid w:val="589A7317"/>
    <w:rsid w:val="589B01C2"/>
    <w:rsid w:val="589C308F"/>
    <w:rsid w:val="58CE1C87"/>
    <w:rsid w:val="58DE7204"/>
    <w:rsid w:val="58E32A6C"/>
    <w:rsid w:val="58E4037C"/>
    <w:rsid w:val="58FC3B2E"/>
    <w:rsid w:val="58FD3402"/>
    <w:rsid w:val="58FF50E0"/>
    <w:rsid w:val="590429E2"/>
    <w:rsid w:val="5909228A"/>
    <w:rsid w:val="590C005A"/>
    <w:rsid w:val="590F3861"/>
    <w:rsid w:val="59123351"/>
    <w:rsid w:val="5915074C"/>
    <w:rsid w:val="59154BEF"/>
    <w:rsid w:val="591A457C"/>
    <w:rsid w:val="59200344"/>
    <w:rsid w:val="59215342"/>
    <w:rsid w:val="59246BE1"/>
    <w:rsid w:val="592D3CE7"/>
    <w:rsid w:val="593C03CE"/>
    <w:rsid w:val="594D25DB"/>
    <w:rsid w:val="595210EF"/>
    <w:rsid w:val="5955323E"/>
    <w:rsid w:val="596671F9"/>
    <w:rsid w:val="596B0550"/>
    <w:rsid w:val="597823D6"/>
    <w:rsid w:val="59796F2C"/>
    <w:rsid w:val="597F6662"/>
    <w:rsid w:val="598A2EE8"/>
    <w:rsid w:val="598D4786"/>
    <w:rsid w:val="598F6750"/>
    <w:rsid w:val="59A9317A"/>
    <w:rsid w:val="59AD4E28"/>
    <w:rsid w:val="59B07FB1"/>
    <w:rsid w:val="59BC1DD2"/>
    <w:rsid w:val="59C45849"/>
    <w:rsid w:val="59C53F20"/>
    <w:rsid w:val="59E051FD"/>
    <w:rsid w:val="59E44CEE"/>
    <w:rsid w:val="59EC5950"/>
    <w:rsid w:val="59EF3692"/>
    <w:rsid w:val="59F40CA9"/>
    <w:rsid w:val="59FD7B5D"/>
    <w:rsid w:val="5A0E1504"/>
    <w:rsid w:val="5A0F7891"/>
    <w:rsid w:val="5A1530F9"/>
    <w:rsid w:val="5A1F646F"/>
    <w:rsid w:val="5A237EB5"/>
    <w:rsid w:val="5A325919"/>
    <w:rsid w:val="5A470DD9"/>
    <w:rsid w:val="5A4C63EF"/>
    <w:rsid w:val="5A582FE6"/>
    <w:rsid w:val="5A5B4884"/>
    <w:rsid w:val="5A5D05FC"/>
    <w:rsid w:val="5A74336C"/>
    <w:rsid w:val="5A843DDB"/>
    <w:rsid w:val="5A880BC7"/>
    <w:rsid w:val="5A935E9D"/>
    <w:rsid w:val="5AAE5705"/>
    <w:rsid w:val="5AB5456B"/>
    <w:rsid w:val="5AB741B0"/>
    <w:rsid w:val="5AB75F5E"/>
    <w:rsid w:val="5ABA15AB"/>
    <w:rsid w:val="5AC42059"/>
    <w:rsid w:val="5AC4767C"/>
    <w:rsid w:val="5AD62798"/>
    <w:rsid w:val="5ADC3C17"/>
    <w:rsid w:val="5AE96334"/>
    <w:rsid w:val="5AEE022E"/>
    <w:rsid w:val="5AEF2B25"/>
    <w:rsid w:val="5AF076C2"/>
    <w:rsid w:val="5AF50835"/>
    <w:rsid w:val="5B0325D2"/>
    <w:rsid w:val="5B086AB9"/>
    <w:rsid w:val="5B0A7630"/>
    <w:rsid w:val="5B150ED7"/>
    <w:rsid w:val="5B1F1D55"/>
    <w:rsid w:val="5B303F63"/>
    <w:rsid w:val="5B353327"/>
    <w:rsid w:val="5B37050C"/>
    <w:rsid w:val="5B4517BC"/>
    <w:rsid w:val="5B4D0671"/>
    <w:rsid w:val="5B525C87"/>
    <w:rsid w:val="5B557525"/>
    <w:rsid w:val="5B751975"/>
    <w:rsid w:val="5B81031A"/>
    <w:rsid w:val="5B8816A9"/>
    <w:rsid w:val="5B8C73EB"/>
    <w:rsid w:val="5B985E8E"/>
    <w:rsid w:val="5B9A6BD8"/>
    <w:rsid w:val="5B9B54BE"/>
    <w:rsid w:val="5BA03988"/>
    <w:rsid w:val="5BCD355F"/>
    <w:rsid w:val="5BD62C38"/>
    <w:rsid w:val="5BD75F25"/>
    <w:rsid w:val="5BDE39BF"/>
    <w:rsid w:val="5BE32D83"/>
    <w:rsid w:val="5BE80399"/>
    <w:rsid w:val="5BEF1728"/>
    <w:rsid w:val="5BFB00CD"/>
    <w:rsid w:val="5C003935"/>
    <w:rsid w:val="5C020FED"/>
    <w:rsid w:val="5C1271C4"/>
    <w:rsid w:val="5C191CD0"/>
    <w:rsid w:val="5C266598"/>
    <w:rsid w:val="5C292E8C"/>
    <w:rsid w:val="5C341831"/>
    <w:rsid w:val="5C381321"/>
    <w:rsid w:val="5C417026"/>
    <w:rsid w:val="5C4D1B34"/>
    <w:rsid w:val="5C5E240A"/>
    <w:rsid w:val="5C6167C1"/>
    <w:rsid w:val="5C69772C"/>
    <w:rsid w:val="5C78121F"/>
    <w:rsid w:val="5C7834CB"/>
    <w:rsid w:val="5C78796F"/>
    <w:rsid w:val="5C7F5803"/>
    <w:rsid w:val="5C8A31FF"/>
    <w:rsid w:val="5C9F6E90"/>
    <w:rsid w:val="5CA2679A"/>
    <w:rsid w:val="5CAB1AF3"/>
    <w:rsid w:val="5CB14C2F"/>
    <w:rsid w:val="5CB5471F"/>
    <w:rsid w:val="5CBD5382"/>
    <w:rsid w:val="5CC44962"/>
    <w:rsid w:val="5CD34DBF"/>
    <w:rsid w:val="5CD94CAE"/>
    <w:rsid w:val="5CE14B91"/>
    <w:rsid w:val="5CEC5C67"/>
    <w:rsid w:val="5CEE19DF"/>
    <w:rsid w:val="5CFC0F0E"/>
    <w:rsid w:val="5D0532FF"/>
    <w:rsid w:val="5D060634"/>
    <w:rsid w:val="5D0B433F"/>
    <w:rsid w:val="5D1A27D4"/>
    <w:rsid w:val="5D2B49E2"/>
    <w:rsid w:val="5D2D075A"/>
    <w:rsid w:val="5D417D61"/>
    <w:rsid w:val="5D5850AB"/>
    <w:rsid w:val="5D5E6044"/>
    <w:rsid w:val="5D755C5D"/>
    <w:rsid w:val="5D85332F"/>
    <w:rsid w:val="5D900CE9"/>
    <w:rsid w:val="5D9B1B67"/>
    <w:rsid w:val="5D9E6F62"/>
    <w:rsid w:val="5DAF0651"/>
    <w:rsid w:val="5DB46A5E"/>
    <w:rsid w:val="5DB70023"/>
    <w:rsid w:val="5DB94201"/>
    <w:rsid w:val="5DC25095"/>
    <w:rsid w:val="5DCA244C"/>
    <w:rsid w:val="5DCD5A99"/>
    <w:rsid w:val="5DCD7847"/>
    <w:rsid w:val="5DD9443E"/>
    <w:rsid w:val="5DE54B90"/>
    <w:rsid w:val="5DE66B5A"/>
    <w:rsid w:val="5DE828D3"/>
    <w:rsid w:val="5DEC23C3"/>
    <w:rsid w:val="5DF27BEC"/>
    <w:rsid w:val="5DF67CA3"/>
    <w:rsid w:val="5E053485"/>
    <w:rsid w:val="5E056FE1"/>
    <w:rsid w:val="5E0D40E7"/>
    <w:rsid w:val="5E1E62F4"/>
    <w:rsid w:val="5E39312E"/>
    <w:rsid w:val="5E483371"/>
    <w:rsid w:val="5E512226"/>
    <w:rsid w:val="5E541D16"/>
    <w:rsid w:val="5E56375F"/>
    <w:rsid w:val="5E5C363B"/>
    <w:rsid w:val="5E62632D"/>
    <w:rsid w:val="5E631F59"/>
    <w:rsid w:val="5E693A13"/>
    <w:rsid w:val="5E6D4B86"/>
    <w:rsid w:val="5E720DA1"/>
    <w:rsid w:val="5E7D301B"/>
    <w:rsid w:val="5E8819C0"/>
    <w:rsid w:val="5E916AC6"/>
    <w:rsid w:val="5E9640DD"/>
    <w:rsid w:val="5EA20CD3"/>
    <w:rsid w:val="5EA72C8D"/>
    <w:rsid w:val="5EBD78BB"/>
    <w:rsid w:val="5EBF1885"/>
    <w:rsid w:val="5EC62C14"/>
    <w:rsid w:val="5EC75334"/>
    <w:rsid w:val="5ECA3D86"/>
    <w:rsid w:val="5ED9270B"/>
    <w:rsid w:val="5EDA221B"/>
    <w:rsid w:val="5EDB41E5"/>
    <w:rsid w:val="5EE017FC"/>
    <w:rsid w:val="5EE17A4E"/>
    <w:rsid w:val="5EE272AA"/>
    <w:rsid w:val="5EE96902"/>
    <w:rsid w:val="5EF05EE3"/>
    <w:rsid w:val="5F047298"/>
    <w:rsid w:val="5F053010"/>
    <w:rsid w:val="5F1020E1"/>
    <w:rsid w:val="5F131BD1"/>
    <w:rsid w:val="5F221E14"/>
    <w:rsid w:val="5F2931A3"/>
    <w:rsid w:val="5F296CFF"/>
    <w:rsid w:val="5F2E2567"/>
    <w:rsid w:val="5F324E7A"/>
    <w:rsid w:val="5F3538F6"/>
    <w:rsid w:val="5F392DEF"/>
    <w:rsid w:val="5F41673E"/>
    <w:rsid w:val="5F4346F2"/>
    <w:rsid w:val="5F506981"/>
    <w:rsid w:val="5F571ABE"/>
    <w:rsid w:val="5F5A15AE"/>
    <w:rsid w:val="5F5D4BFA"/>
    <w:rsid w:val="5F64242D"/>
    <w:rsid w:val="5F662FDF"/>
    <w:rsid w:val="5F683CCB"/>
    <w:rsid w:val="5F846269"/>
    <w:rsid w:val="5F8E1258"/>
    <w:rsid w:val="5F954394"/>
    <w:rsid w:val="5F9836DA"/>
    <w:rsid w:val="5F9E1448"/>
    <w:rsid w:val="5FAB3BB8"/>
    <w:rsid w:val="5FB54A36"/>
    <w:rsid w:val="5FBA3DFB"/>
    <w:rsid w:val="5FC66C44"/>
    <w:rsid w:val="5FCA55E0"/>
    <w:rsid w:val="5FCF3D4A"/>
    <w:rsid w:val="5FE0199F"/>
    <w:rsid w:val="5FE5531C"/>
    <w:rsid w:val="5FF4730D"/>
    <w:rsid w:val="5FFD6815"/>
    <w:rsid w:val="60006398"/>
    <w:rsid w:val="600B23EC"/>
    <w:rsid w:val="60213E7A"/>
    <w:rsid w:val="603D6F06"/>
    <w:rsid w:val="6051475F"/>
    <w:rsid w:val="60545FFD"/>
    <w:rsid w:val="60575AEE"/>
    <w:rsid w:val="60624BBE"/>
    <w:rsid w:val="60722C56"/>
    <w:rsid w:val="60724FE7"/>
    <w:rsid w:val="60732927"/>
    <w:rsid w:val="60791F08"/>
    <w:rsid w:val="60793CB6"/>
    <w:rsid w:val="609047B5"/>
    <w:rsid w:val="60B42F40"/>
    <w:rsid w:val="60BA0556"/>
    <w:rsid w:val="60D02994"/>
    <w:rsid w:val="60DB671F"/>
    <w:rsid w:val="60ED4878"/>
    <w:rsid w:val="60F03F78"/>
    <w:rsid w:val="60F11A9E"/>
    <w:rsid w:val="60FF4F56"/>
    <w:rsid w:val="610C0686"/>
    <w:rsid w:val="610E5971"/>
    <w:rsid w:val="612754C0"/>
    <w:rsid w:val="612B3202"/>
    <w:rsid w:val="6131633F"/>
    <w:rsid w:val="614442C4"/>
    <w:rsid w:val="61497B2C"/>
    <w:rsid w:val="61504A17"/>
    <w:rsid w:val="61532759"/>
    <w:rsid w:val="615564D1"/>
    <w:rsid w:val="615C4626"/>
    <w:rsid w:val="61616C24"/>
    <w:rsid w:val="61691F7C"/>
    <w:rsid w:val="61700C15"/>
    <w:rsid w:val="617103C1"/>
    <w:rsid w:val="61730705"/>
    <w:rsid w:val="6183263D"/>
    <w:rsid w:val="61840B64"/>
    <w:rsid w:val="61860438"/>
    <w:rsid w:val="6189617B"/>
    <w:rsid w:val="61926DDD"/>
    <w:rsid w:val="61966BE4"/>
    <w:rsid w:val="619C1A0A"/>
    <w:rsid w:val="619C2341"/>
    <w:rsid w:val="61A46B11"/>
    <w:rsid w:val="61A66D2D"/>
    <w:rsid w:val="61A94127"/>
    <w:rsid w:val="61AE5BE1"/>
    <w:rsid w:val="61B256D1"/>
    <w:rsid w:val="61B520BF"/>
    <w:rsid w:val="61C176C2"/>
    <w:rsid w:val="61C66936"/>
    <w:rsid w:val="61C846AC"/>
    <w:rsid w:val="61D64F90"/>
    <w:rsid w:val="61DB264B"/>
    <w:rsid w:val="61F66F47"/>
    <w:rsid w:val="61FE0917"/>
    <w:rsid w:val="61FE544E"/>
    <w:rsid w:val="61FF7D20"/>
    <w:rsid w:val="62206ADF"/>
    <w:rsid w:val="622F6D22"/>
    <w:rsid w:val="623139CC"/>
    <w:rsid w:val="62344338"/>
    <w:rsid w:val="623C4F9B"/>
    <w:rsid w:val="624D0F56"/>
    <w:rsid w:val="625C5B41"/>
    <w:rsid w:val="625E1026"/>
    <w:rsid w:val="626022F8"/>
    <w:rsid w:val="626855F5"/>
    <w:rsid w:val="62693A41"/>
    <w:rsid w:val="626F35C2"/>
    <w:rsid w:val="62791D4B"/>
    <w:rsid w:val="628250A4"/>
    <w:rsid w:val="6289392C"/>
    <w:rsid w:val="628C5F22"/>
    <w:rsid w:val="62913539"/>
    <w:rsid w:val="62A13D9D"/>
    <w:rsid w:val="62A25746"/>
    <w:rsid w:val="62A96AD4"/>
    <w:rsid w:val="62B81204"/>
    <w:rsid w:val="62B92A90"/>
    <w:rsid w:val="62D54D41"/>
    <w:rsid w:val="62E775FD"/>
    <w:rsid w:val="62F15210"/>
    <w:rsid w:val="63010CC9"/>
    <w:rsid w:val="630737FB"/>
    <w:rsid w:val="63077D28"/>
    <w:rsid w:val="631E003D"/>
    <w:rsid w:val="632E6FDA"/>
    <w:rsid w:val="63312626"/>
    <w:rsid w:val="633F4D43"/>
    <w:rsid w:val="634A1B55"/>
    <w:rsid w:val="63556314"/>
    <w:rsid w:val="635602DE"/>
    <w:rsid w:val="63585E05"/>
    <w:rsid w:val="637F15E3"/>
    <w:rsid w:val="63845679"/>
    <w:rsid w:val="63881E4A"/>
    <w:rsid w:val="638906B4"/>
    <w:rsid w:val="638E1826"/>
    <w:rsid w:val="63911317"/>
    <w:rsid w:val="63AD0790"/>
    <w:rsid w:val="63B15515"/>
    <w:rsid w:val="63CB4828"/>
    <w:rsid w:val="63DA4A6C"/>
    <w:rsid w:val="63DD455C"/>
    <w:rsid w:val="63DF65BB"/>
    <w:rsid w:val="63E94CAF"/>
    <w:rsid w:val="63EA73A4"/>
    <w:rsid w:val="64080555"/>
    <w:rsid w:val="64143E77"/>
    <w:rsid w:val="641D7E4F"/>
    <w:rsid w:val="64370110"/>
    <w:rsid w:val="64513D0C"/>
    <w:rsid w:val="64526933"/>
    <w:rsid w:val="64562B8F"/>
    <w:rsid w:val="645F194F"/>
    <w:rsid w:val="64664551"/>
    <w:rsid w:val="647A1DAB"/>
    <w:rsid w:val="647B3664"/>
    <w:rsid w:val="647E58FA"/>
    <w:rsid w:val="64844A53"/>
    <w:rsid w:val="6486074F"/>
    <w:rsid w:val="649E1F3D"/>
    <w:rsid w:val="64A05CB5"/>
    <w:rsid w:val="64A20314"/>
    <w:rsid w:val="64AF7992"/>
    <w:rsid w:val="64B11C70"/>
    <w:rsid w:val="64B654D9"/>
    <w:rsid w:val="64D15E6F"/>
    <w:rsid w:val="64D23995"/>
    <w:rsid w:val="64D63485"/>
    <w:rsid w:val="64E57B6C"/>
    <w:rsid w:val="650B4720"/>
    <w:rsid w:val="650D2C1F"/>
    <w:rsid w:val="65102E3B"/>
    <w:rsid w:val="651346D9"/>
    <w:rsid w:val="651B17E0"/>
    <w:rsid w:val="653372EE"/>
    <w:rsid w:val="653D52B2"/>
    <w:rsid w:val="65444892"/>
    <w:rsid w:val="65543D47"/>
    <w:rsid w:val="65562818"/>
    <w:rsid w:val="656C3DE9"/>
    <w:rsid w:val="65717652"/>
    <w:rsid w:val="657A200F"/>
    <w:rsid w:val="657B5DDA"/>
    <w:rsid w:val="658904F7"/>
    <w:rsid w:val="6598707F"/>
    <w:rsid w:val="65AD68DC"/>
    <w:rsid w:val="65BA2DA7"/>
    <w:rsid w:val="65BF03BD"/>
    <w:rsid w:val="65DE4CE7"/>
    <w:rsid w:val="65E07311"/>
    <w:rsid w:val="65E16585"/>
    <w:rsid w:val="65F20792"/>
    <w:rsid w:val="65F30067"/>
    <w:rsid w:val="65FF4C5D"/>
    <w:rsid w:val="66044022"/>
    <w:rsid w:val="66157FDD"/>
    <w:rsid w:val="661C136B"/>
    <w:rsid w:val="6632293D"/>
    <w:rsid w:val="66350E16"/>
    <w:rsid w:val="66417D66"/>
    <w:rsid w:val="665054B9"/>
    <w:rsid w:val="666A657B"/>
    <w:rsid w:val="666C4B4B"/>
    <w:rsid w:val="666C5A18"/>
    <w:rsid w:val="66720CA2"/>
    <w:rsid w:val="6679056C"/>
    <w:rsid w:val="66805D9E"/>
    <w:rsid w:val="668F1B3D"/>
    <w:rsid w:val="66BB0B84"/>
    <w:rsid w:val="66D47E98"/>
    <w:rsid w:val="66E71979"/>
    <w:rsid w:val="66E71BC8"/>
    <w:rsid w:val="66E83943"/>
    <w:rsid w:val="66E9263B"/>
    <w:rsid w:val="66EA39FA"/>
    <w:rsid w:val="66EE0238"/>
    <w:rsid w:val="66F347C2"/>
    <w:rsid w:val="66F44096"/>
    <w:rsid w:val="66FD119D"/>
    <w:rsid w:val="67050051"/>
    <w:rsid w:val="67144738"/>
    <w:rsid w:val="67177D85"/>
    <w:rsid w:val="671B5AC7"/>
    <w:rsid w:val="672B53C1"/>
    <w:rsid w:val="673335DC"/>
    <w:rsid w:val="67472418"/>
    <w:rsid w:val="674D37A6"/>
    <w:rsid w:val="676E209B"/>
    <w:rsid w:val="676F0B13"/>
    <w:rsid w:val="677156E7"/>
    <w:rsid w:val="67730840"/>
    <w:rsid w:val="6773145F"/>
    <w:rsid w:val="677C0AF6"/>
    <w:rsid w:val="677F7E04"/>
    <w:rsid w:val="67803B7C"/>
    <w:rsid w:val="678A0557"/>
    <w:rsid w:val="678E0047"/>
    <w:rsid w:val="679D64DC"/>
    <w:rsid w:val="67A91325"/>
    <w:rsid w:val="67C033E3"/>
    <w:rsid w:val="67C11F08"/>
    <w:rsid w:val="67C717AB"/>
    <w:rsid w:val="67DC5256"/>
    <w:rsid w:val="67E265E5"/>
    <w:rsid w:val="67E759A9"/>
    <w:rsid w:val="67EE0C5C"/>
    <w:rsid w:val="67EE6D37"/>
    <w:rsid w:val="67FF0F45"/>
    <w:rsid w:val="68016A6B"/>
    <w:rsid w:val="680622D3"/>
    <w:rsid w:val="680D18B3"/>
    <w:rsid w:val="681A18DB"/>
    <w:rsid w:val="682E182A"/>
    <w:rsid w:val="682F73B1"/>
    <w:rsid w:val="6835120D"/>
    <w:rsid w:val="683A1F7D"/>
    <w:rsid w:val="683F78D0"/>
    <w:rsid w:val="684674AC"/>
    <w:rsid w:val="6848469A"/>
    <w:rsid w:val="684C792C"/>
    <w:rsid w:val="684D63DD"/>
    <w:rsid w:val="68680898"/>
    <w:rsid w:val="68686AEA"/>
    <w:rsid w:val="686E78C6"/>
    <w:rsid w:val="686F60CA"/>
    <w:rsid w:val="68732D30"/>
    <w:rsid w:val="68751207"/>
    <w:rsid w:val="687731D1"/>
    <w:rsid w:val="687F1367"/>
    <w:rsid w:val="687F3E33"/>
    <w:rsid w:val="6884144A"/>
    <w:rsid w:val="68882CE8"/>
    <w:rsid w:val="689F0032"/>
    <w:rsid w:val="68A55D04"/>
    <w:rsid w:val="68AE3DFD"/>
    <w:rsid w:val="68BB02D0"/>
    <w:rsid w:val="68BB130F"/>
    <w:rsid w:val="68BC0BE4"/>
    <w:rsid w:val="68C31F72"/>
    <w:rsid w:val="68C77CB4"/>
    <w:rsid w:val="68D26659"/>
    <w:rsid w:val="68ED6FEF"/>
    <w:rsid w:val="68F24605"/>
    <w:rsid w:val="690F23AF"/>
    <w:rsid w:val="69280027"/>
    <w:rsid w:val="692A1FF1"/>
    <w:rsid w:val="694158E3"/>
    <w:rsid w:val="69450BD9"/>
    <w:rsid w:val="69572814"/>
    <w:rsid w:val="69581096"/>
    <w:rsid w:val="695D4175"/>
    <w:rsid w:val="695E2C6C"/>
    <w:rsid w:val="69653029"/>
    <w:rsid w:val="696876A8"/>
    <w:rsid w:val="696B2DF2"/>
    <w:rsid w:val="697D7C9D"/>
    <w:rsid w:val="697F5FDF"/>
    <w:rsid w:val="69872FA0"/>
    <w:rsid w:val="69A04061"/>
    <w:rsid w:val="69A73642"/>
    <w:rsid w:val="69AC19D5"/>
    <w:rsid w:val="69B83AA1"/>
    <w:rsid w:val="69BD4C13"/>
    <w:rsid w:val="69C05031"/>
    <w:rsid w:val="69CA3B1D"/>
    <w:rsid w:val="69E14DA6"/>
    <w:rsid w:val="69E95A08"/>
    <w:rsid w:val="69EE74C3"/>
    <w:rsid w:val="69F97043"/>
    <w:rsid w:val="69FA5E67"/>
    <w:rsid w:val="6A01531E"/>
    <w:rsid w:val="6A050368"/>
    <w:rsid w:val="6A0860A6"/>
    <w:rsid w:val="6A0A597F"/>
    <w:rsid w:val="6A301889"/>
    <w:rsid w:val="6A386990"/>
    <w:rsid w:val="6A426CC9"/>
    <w:rsid w:val="6A433EC8"/>
    <w:rsid w:val="6A4946F9"/>
    <w:rsid w:val="6A5A4B58"/>
    <w:rsid w:val="6A687B85"/>
    <w:rsid w:val="6A6B0B13"/>
    <w:rsid w:val="6A7158D1"/>
    <w:rsid w:val="6A8614A9"/>
    <w:rsid w:val="6A885221"/>
    <w:rsid w:val="6A927C7B"/>
    <w:rsid w:val="6A94006A"/>
    <w:rsid w:val="6AA71468"/>
    <w:rsid w:val="6AAF0A00"/>
    <w:rsid w:val="6AAF2A06"/>
    <w:rsid w:val="6AD55F8D"/>
    <w:rsid w:val="6AD77F57"/>
    <w:rsid w:val="6AD949F7"/>
    <w:rsid w:val="6ADA35A3"/>
    <w:rsid w:val="6ADF0BB9"/>
    <w:rsid w:val="6AE2544E"/>
    <w:rsid w:val="6AF4736A"/>
    <w:rsid w:val="6AF7565C"/>
    <w:rsid w:val="6B0D5727"/>
    <w:rsid w:val="6B122D3D"/>
    <w:rsid w:val="6B142F59"/>
    <w:rsid w:val="6B252A70"/>
    <w:rsid w:val="6B264A3A"/>
    <w:rsid w:val="6B2F1B41"/>
    <w:rsid w:val="6B340F05"/>
    <w:rsid w:val="6B486942"/>
    <w:rsid w:val="6B4C44A1"/>
    <w:rsid w:val="6B663A39"/>
    <w:rsid w:val="6B673CC7"/>
    <w:rsid w:val="6B6A1A47"/>
    <w:rsid w:val="6B723F97"/>
    <w:rsid w:val="6B9D6AAA"/>
    <w:rsid w:val="6BA20565"/>
    <w:rsid w:val="6BAF4A30"/>
    <w:rsid w:val="6BB64152"/>
    <w:rsid w:val="6BBF1117"/>
    <w:rsid w:val="6BC9166A"/>
    <w:rsid w:val="6BCF19A0"/>
    <w:rsid w:val="6BCF6E80"/>
    <w:rsid w:val="6BD9385B"/>
    <w:rsid w:val="6BDC4B78"/>
    <w:rsid w:val="6BEC351E"/>
    <w:rsid w:val="6BEC358E"/>
    <w:rsid w:val="6BF012D0"/>
    <w:rsid w:val="6C0111DD"/>
    <w:rsid w:val="6C0A6354"/>
    <w:rsid w:val="6C0B435C"/>
    <w:rsid w:val="6C156006"/>
    <w:rsid w:val="6C1A0EEC"/>
    <w:rsid w:val="6C223454"/>
    <w:rsid w:val="6C2A5AA0"/>
    <w:rsid w:val="6C33740F"/>
    <w:rsid w:val="6C3513D9"/>
    <w:rsid w:val="6C3D203B"/>
    <w:rsid w:val="6C5F78E2"/>
    <w:rsid w:val="6C6E5385"/>
    <w:rsid w:val="6C73641C"/>
    <w:rsid w:val="6C7517D5"/>
    <w:rsid w:val="6C7A6DEC"/>
    <w:rsid w:val="6C8639E2"/>
    <w:rsid w:val="6C920E4F"/>
    <w:rsid w:val="6C951E77"/>
    <w:rsid w:val="6C9854C4"/>
    <w:rsid w:val="6C991968"/>
    <w:rsid w:val="6C9F43D9"/>
    <w:rsid w:val="6CA81BAB"/>
    <w:rsid w:val="6CA976D1"/>
    <w:rsid w:val="6CB56076"/>
    <w:rsid w:val="6CB57D00"/>
    <w:rsid w:val="6CC22541"/>
    <w:rsid w:val="6CD209D6"/>
    <w:rsid w:val="6CD7423E"/>
    <w:rsid w:val="6CD836F7"/>
    <w:rsid w:val="6CE60925"/>
    <w:rsid w:val="6CED1CB3"/>
    <w:rsid w:val="6CEE5E21"/>
    <w:rsid w:val="6CF43042"/>
    <w:rsid w:val="6D01750D"/>
    <w:rsid w:val="6D0843F7"/>
    <w:rsid w:val="6D0B3EE8"/>
    <w:rsid w:val="6D147240"/>
    <w:rsid w:val="6D16450C"/>
    <w:rsid w:val="6D1E3C1B"/>
    <w:rsid w:val="6D2C432B"/>
    <w:rsid w:val="6D400035"/>
    <w:rsid w:val="6D430958"/>
    <w:rsid w:val="6D437AFB"/>
    <w:rsid w:val="6D464F20"/>
    <w:rsid w:val="6D4D4500"/>
    <w:rsid w:val="6D667370"/>
    <w:rsid w:val="6D6C1833"/>
    <w:rsid w:val="6D76617C"/>
    <w:rsid w:val="6D77157D"/>
    <w:rsid w:val="6D806684"/>
    <w:rsid w:val="6D821E63"/>
    <w:rsid w:val="6D851995"/>
    <w:rsid w:val="6D9B526C"/>
    <w:rsid w:val="6DA01FBA"/>
    <w:rsid w:val="6DA71E62"/>
    <w:rsid w:val="6DAF4B20"/>
    <w:rsid w:val="6DC04CD2"/>
    <w:rsid w:val="6DC20A4A"/>
    <w:rsid w:val="6DCC3BD0"/>
    <w:rsid w:val="6DD46DD3"/>
    <w:rsid w:val="6DF901E4"/>
    <w:rsid w:val="6E056B89"/>
    <w:rsid w:val="6E105C5A"/>
    <w:rsid w:val="6E2F6053"/>
    <w:rsid w:val="6E337B9A"/>
    <w:rsid w:val="6E412C38"/>
    <w:rsid w:val="6E4A0A40"/>
    <w:rsid w:val="6E4E0530"/>
    <w:rsid w:val="6E4E22DE"/>
    <w:rsid w:val="6E504BE0"/>
    <w:rsid w:val="6E526F0C"/>
    <w:rsid w:val="6E5D4C17"/>
    <w:rsid w:val="6E5F098F"/>
    <w:rsid w:val="6E600263"/>
    <w:rsid w:val="6E6B10E2"/>
    <w:rsid w:val="6E8421A4"/>
    <w:rsid w:val="6E86135D"/>
    <w:rsid w:val="6E8B52E0"/>
    <w:rsid w:val="6E8E4DD0"/>
    <w:rsid w:val="6E8F5B7E"/>
    <w:rsid w:val="6E9323E7"/>
    <w:rsid w:val="6E9A12BD"/>
    <w:rsid w:val="6E9D5013"/>
    <w:rsid w:val="6EA12D56"/>
    <w:rsid w:val="6EC407F2"/>
    <w:rsid w:val="6ECF78C3"/>
    <w:rsid w:val="6ED0363B"/>
    <w:rsid w:val="6ED50F35"/>
    <w:rsid w:val="6EE175F6"/>
    <w:rsid w:val="6EE964AB"/>
    <w:rsid w:val="6EEE55DC"/>
    <w:rsid w:val="6EEE586F"/>
    <w:rsid w:val="6EF015E7"/>
    <w:rsid w:val="6EF03395"/>
    <w:rsid w:val="6EF801BB"/>
    <w:rsid w:val="6F046E40"/>
    <w:rsid w:val="6F082DD5"/>
    <w:rsid w:val="6F0C56F4"/>
    <w:rsid w:val="6F0E7CBF"/>
    <w:rsid w:val="6F1B2B08"/>
    <w:rsid w:val="6F213E96"/>
    <w:rsid w:val="6F235519"/>
    <w:rsid w:val="6F3239AE"/>
    <w:rsid w:val="6F3A0AB4"/>
    <w:rsid w:val="6F3B6D06"/>
    <w:rsid w:val="6F45301C"/>
    <w:rsid w:val="6F457B85"/>
    <w:rsid w:val="6F4638FD"/>
    <w:rsid w:val="6F6049BF"/>
    <w:rsid w:val="6F631DB9"/>
    <w:rsid w:val="6F6B7AB7"/>
    <w:rsid w:val="6F74659A"/>
    <w:rsid w:val="6F7513B5"/>
    <w:rsid w:val="6F814935"/>
    <w:rsid w:val="6F847DBE"/>
    <w:rsid w:val="6F8A1A3C"/>
    <w:rsid w:val="6F8C57B4"/>
    <w:rsid w:val="6F9257FA"/>
    <w:rsid w:val="6F946416"/>
    <w:rsid w:val="6F9D3AB2"/>
    <w:rsid w:val="6FAC19B2"/>
    <w:rsid w:val="6FAD572A"/>
    <w:rsid w:val="6FAE0FE7"/>
    <w:rsid w:val="6FB52A3B"/>
    <w:rsid w:val="6FB940CF"/>
    <w:rsid w:val="6FBE3185"/>
    <w:rsid w:val="6FBF4EA4"/>
    <w:rsid w:val="6FC0545D"/>
    <w:rsid w:val="6FC34F4E"/>
    <w:rsid w:val="6FD213F3"/>
    <w:rsid w:val="6FD607DD"/>
    <w:rsid w:val="6FD9651F"/>
    <w:rsid w:val="6FDC4FAB"/>
    <w:rsid w:val="6FE50A20"/>
    <w:rsid w:val="6FE56C72"/>
    <w:rsid w:val="6FF33F18"/>
    <w:rsid w:val="700E441B"/>
    <w:rsid w:val="70141305"/>
    <w:rsid w:val="70161521"/>
    <w:rsid w:val="701A2DBF"/>
    <w:rsid w:val="701E1AE0"/>
    <w:rsid w:val="70205EFC"/>
    <w:rsid w:val="70253512"/>
    <w:rsid w:val="70390D6C"/>
    <w:rsid w:val="703B2D36"/>
    <w:rsid w:val="703F2826"/>
    <w:rsid w:val="70433998"/>
    <w:rsid w:val="70447E3C"/>
    <w:rsid w:val="70453BB5"/>
    <w:rsid w:val="70473489"/>
    <w:rsid w:val="70512559"/>
    <w:rsid w:val="70545BA6"/>
    <w:rsid w:val="706633D4"/>
    <w:rsid w:val="70696A58"/>
    <w:rsid w:val="70787AE6"/>
    <w:rsid w:val="7093274E"/>
    <w:rsid w:val="70950698"/>
    <w:rsid w:val="709D579F"/>
    <w:rsid w:val="70B02E40"/>
    <w:rsid w:val="70BD374B"/>
    <w:rsid w:val="70C26FB3"/>
    <w:rsid w:val="70C40F7D"/>
    <w:rsid w:val="70DE203F"/>
    <w:rsid w:val="70DF5DB7"/>
    <w:rsid w:val="70F03B20"/>
    <w:rsid w:val="70F80C27"/>
    <w:rsid w:val="711627AF"/>
    <w:rsid w:val="711710AD"/>
    <w:rsid w:val="712612F0"/>
    <w:rsid w:val="71297032"/>
    <w:rsid w:val="71306613"/>
    <w:rsid w:val="71386A31"/>
    <w:rsid w:val="71445C1A"/>
    <w:rsid w:val="71597917"/>
    <w:rsid w:val="716360A0"/>
    <w:rsid w:val="7164006A"/>
    <w:rsid w:val="71671FA7"/>
    <w:rsid w:val="71685DAD"/>
    <w:rsid w:val="716B13F9"/>
    <w:rsid w:val="716F713B"/>
    <w:rsid w:val="7177793A"/>
    <w:rsid w:val="718030F6"/>
    <w:rsid w:val="719646C8"/>
    <w:rsid w:val="719B6E1A"/>
    <w:rsid w:val="71AA0173"/>
    <w:rsid w:val="71B0505E"/>
    <w:rsid w:val="71C034F3"/>
    <w:rsid w:val="71CC1CC1"/>
    <w:rsid w:val="71F118FE"/>
    <w:rsid w:val="72007D93"/>
    <w:rsid w:val="720C2BD8"/>
    <w:rsid w:val="721D6B97"/>
    <w:rsid w:val="72273572"/>
    <w:rsid w:val="72281098"/>
    <w:rsid w:val="72415A14"/>
    <w:rsid w:val="72435ED2"/>
    <w:rsid w:val="72640322"/>
    <w:rsid w:val="726522EC"/>
    <w:rsid w:val="72695938"/>
    <w:rsid w:val="726A16B0"/>
    <w:rsid w:val="726D298E"/>
    <w:rsid w:val="72712A3F"/>
    <w:rsid w:val="728B1D53"/>
    <w:rsid w:val="72920E5C"/>
    <w:rsid w:val="72966949"/>
    <w:rsid w:val="72983877"/>
    <w:rsid w:val="729B7ABC"/>
    <w:rsid w:val="72A9042B"/>
    <w:rsid w:val="72AE5A41"/>
    <w:rsid w:val="72B868C0"/>
    <w:rsid w:val="72BF37AA"/>
    <w:rsid w:val="72C2773E"/>
    <w:rsid w:val="72CE7A95"/>
    <w:rsid w:val="72D8486C"/>
    <w:rsid w:val="72DE7AD2"/>
    <w:rsid w:val="72E6342D"/>
    <w:rsid w:val="72F13431"/>
    <w:rsid w:val="72F71196"/>
    <w:rsid w:val="72FC0BC3"/>
    <w:rsid w:val="72FD0776"/>
    <w:rsid w:val="73013DC3"/>
    <w:rsid w:val="730833A3"/>
    <w:rsid w:val="73207B52"/>
    <w:rsid w:val="732E6B82"/>
    <w:rsid w:val="732E6EBC"/>
    <w:rsid w:val="733028FA"/>
    <w:rsid w:val="73353A6C"/>
    <w:rsid w:val="7336219B"/>
    <w:rsid w:val="733F6699"/>
    <w:rsid w:val="73532145"/>
    <w:rsid w:val="73552361"/>
    <w:rsid w:val="73591E51"/>
    <w:rsid w:val="736B1B84"/>
    <w:rsid w:val="7375030D"/>
    <w:rsid w:val="737722D7"/>
    <w:rsid w:val="73944C37"/>
    <w:rsid w:val="73974D6B"/>
    <w:rsid w:val="739F35DC"/>
    <w:rsid w:val="73A86934"/>
    <w:rsid w:val="73B40D15"/>
    <w:rsid w:val="73B47087"/>
    <w:rsid w:val="73CF6453"/>
    <w:rsid w:val="73E7745D"/>
    <w:rsid w:val="73F41B79"/>
    <w:rsid w:val="74147A26"/>
    <w:rsid w:val="74177616"/>
    <w:rsid w:val="74185868"/>
    <w:rsid w:val="74213FF1"/>
    <w:rsid w:val="74245335"/>
    <w:rsid w:val="742B065D"/>
    <w:rsid w:val="742F670E"/>
    <w:rsid w:val="743447F0"/>
    <w:rsid w:val="743D379E"/>
    <w:rsid w:val="743D707D"/>
    <w:rsid w:val="744321B9"/>
    <w:rsid w:val="74457D5E"/>
    <w:rsid w:val="74493C73"/>
    <w:rsid w:val="744F6DB0"/>
    <w:rsid w:val="745148D6"/>
    <w:rsid w:val="745368A0"/>
    <w:rsid w:val="745919DD"/>
    <w:rsid w:val="74744A68"/>
    <w:rsid w:val="748F53FE"/>
    <w:rsid w:val="74A4534E"/>
    <w:rsid w:val="74AC4202"/>
    <w:rsid w:val="74BA06CD"/>
    <w:rsid w:val="74C27582"/>
    <w:rsid w:val="74C4779E"/>
    <w:rsid w:val="74CC0400"/>
    <w:rsid w:val="74CE5F27"/>
    <w:rsid w:val="74E92E65"/>
    <w:rsid w:val="75022074"/>
    <w:rsid w:val="750556C0"/>
    <w:rsid w:val="75137DDD"/>
    <w:rsid w:val="75140918"/>
    <w:rsid w:val="75295853"/>
    <w:rsid w:val="753B10E2"/>
    <w:rsid w:val="753F5076"/>
    <w:rsid w:val="7540331F"/>
    <w:rsid w:val="75466405"/>
    <w:rsid w:val="754D7793"/>
    <w:rsid w:val="7553467E"/>
    <w:rsid w:val="75610B49"/>
    <w:rsid w:val="75622B13"/>
    <w:rsid w:val="75750A98"/>
    <w:rsid w:val="7577036C"/>
    <w:rsid w:val="75774810"/>
    <w:rsid w:val="757A6531"/>
    <w:rsid w:val="75826D11"/>
    <w:rsid w:val="75874327"/>
    <w:rsid w:val="758B206A"/>
    <w:rsid w:val="758D5DE2"/>
    <w:rsid w:val="758E3908"/>
    <w:rsid w:val="759929D8"/>
    <w:rsid w:val="75A1188D"/>
    <w:rsid w:val="75AF3FAA"/>
    <w:rsid w:val="75B94E29"/>
    <w:rsid w:val="75C31803"/>
    <w:rsid w:val="75C537CD"/>
    <w:rsid w:val="75CA2B92"/>
    <w:rsid w:val="75D752AF"/>
    <w:rsid w:val="75ED6880"/>
    <w:rsid w:val="75EF1A41"/>
    <w:rsid w:val="7601057E"/>
    <w:rsid w:val="760140DA"/>
    <w:rsid w:val="76183E97"/>
    <w:rsid w:val="761E4C8C"/>
    <w:rsid w:val="761E7EF5"/>
    <w:rsid w:val="763B2140"/>
    <w:rsid w:val="763B3A90"/>
    <w:rsid w:val="76452218"/>
    <w:rsid w:val="76472434"/>
    <w:rsid w:val="764A782F"/>
    <w:rsid w:val="764D5213"/>
    <w:rsid w:val="765D3A06"/>
    <w:rsid w:val="766034F6"/>
    <w:rsid w:val="76634D94"/>
    <w:rsid w:val="766A6123"/>
    <w:rsid w:val="766C1E9B"/>
    <w:rsid w:val="76764AC8"/>
    <w:rsid w:val="767825EE"/>
    <w:rsid w:val="76790114"/>
    <w:rsid w:val="76794423"/>
    <w:rsid w:val="767D7C04"/>
    <w:rsid w:val="768F5B89"/>
    <w:rsid w:val="769E7B7B"/>
    <w:rsid w:val="769F29DD"/>
    <w:rsid w:val="76A258BD"/>
    <w:rsid w:val="76A52FC0"/>
    <w:rsid w:val="76C577FD"/>
    <w:rsid w:val="76D31F1A"/>
    <w:rsid w:val="76D35A76"/>
    <w:rsid w:val="76E34989"/>
    <w:rsid w:val="76E41A31"/>
    <w:rsid w:val="76E61C4D"/>
    <w:rsid w:val="76FD50A9"/>
    <w:rsid w:val="770025E3"/>
    <w:rsid w:val="770B16B4"/>
    <w:rsid w:val="771115F1"/>
    <w:rsid w:val="77183DD1"/>
    <w:rsid w:val="772620E0"/>
    <w:rsid w:val="772B3B04"/>
    <w:rsid w:val="77332AA0"/>
    <w:rsid w:val="77387FCF"/>
    <w:rsid w:val="77493F8A"/>
    <w:rsid w:val="774B7D02"/>
    <w:rsid w:val="77530965"/>
    <w:rsid w:val="77562203"/>
    <w:rsid w:val="77664B3C"/>
    <w:rsid w:val="7775553D"/>
    <w:rsid w:val="77905715"/>
    <w:rsid w:val="77935205"/>
    <w:rsid w:val="779D7E32"/>
    <w:rsid w:val="77A80CB1"/>
    <w:rsid w:val="77C655DB"/>
    <w:rsid w:val="77CD6969"/>
    <w:rsid w:val="77D47CF8"/>
    <w:rsid w:val="77E048EF"/>
    <w:rsid w:val="77EB3293"/>
    <w:rsid w:val="77F24622"/>
    <w:rsid w:val="780659D7"/>
    <w:rsid w:val="780F6F82"/>
    <w:rsid w:val="78112CFA"/>
    <w:rsid w:val="78126A72"/>
    <w:rsid w:val="78177433"/>
    <w:rsid w:val="782A3DBC"/>
    <w:rsid w:val="782D1479"/>
    <w:rsid w:val="78364E09"/>
    <w:rsid w:val="783B72F7"/>
    <w:rsid w:val="783B7D77"/>
    <w:rsid w:val="783C589D"/>
    <w:rsid w:val="785A791F"/>
    <w:rsid w:val="78670B6C"/>
    <w:rsid w:val="786E0F9C"/>
    <w:rsid w:val="787766FF"/>
    <w:rsid w:val="788039DC"/>
    <w:rsid w:val="788A6608"/>
    <w:rsid w:val="78A05E2C"/>
    <w:rsid w:val="78A44C7D"/>
    <w:rsid w:val="78A91184"/>
    <w:rsid w:val="78B00A90"/>
    <w:rsid w:val="78B3646F"/>
    <w:rsid w:val="78B55BA0"/>
    <w:rsid w:val="78B74A14"/>
    <w:rsid w:val="78C3596E"/>
    <w:rsid w:val="78DF47D2"/>
    <w:rsid w:val="78E75AEA"/>
    <w:rsid w:val="78E774D9"/>
    <w:rsid w:val="78F61EF0"/>
    <w:rsid w:val="78FA42BF"/>
    <w:rsid w:val="79087881"/>
    <w:rsid w:val="79250DD9"/>
    <w:rsid w:val="79314CD6"/>
    <w:rsid w:val="79336CA0"/>
    <w:rsid w:val="793B7903"/>
    <w:rsid w:val="793D7B1F"/>
    <w:rsid w:val="79406AC7"/>
    <w:rsid w:val="7945701A"/>
    <w:rsid w:val="79475F36"/>
    <w:rsid w:val="794B626C"/>
    <w:rsid w:val="794C37DE"/>
    <w:rsid w:val="795A247F"/>
    <w:rsid w:val="795A3BA2"/>
    <w:rsid w:val="795C61F7"/>
    <w:rsid w:val="79637FF8"/>
    <w:rsid w:val="79646E59"/>
    <w:rsid w:val="79865022"/>
    <w:rsid w:val="79935991"/>
    <w:rsid w:val="79996161"/>
    <w:rsid w:val="79B25E17"/>
    <w:rsid w:val="79BE6599"/>
    <w:rsid w:val="79C124FE"/>
    <w:rsid w:val="79DE4E5E"/>
    <w:rsid w:val="79E24222"/>
    <w:rsid w:val="79ED32F3"/>
    <w:rsid w:val="79F20909"/>
    <w:rsid w:val="79F93A46"/>
    <w:rsid w:val="79FA156C"/>
    <w:rsid w:val="79FD3BDD"/>
    <w:rsid w:val="79FF31C2"/>
    <w:rsid w:val="7A09486A"/>
    <w:rsid w:val="7A1B7E60"/>
    <w:rsid w:val="7A223AAA"/>
    <w:rsid w:val="7A252A8D"/>
    <w:rsid w:val="7A2A00A3"/>
    <w:rsid w:val="7A304F8E"/>
    <w:rsid w:val="7A440A39"/>
    <w:rsid w:val="7A543372"/>
    <w:rsid w:val="7A5A00FF"/>
    <w:rsid w:val="7A613399"/>
    <w:rsid w:val="7A6D4434"/>
    <w:rsid w:val="7A715CD2"/>
    <w:rsid w:val="7A7255A6"/>
    <w:rsid w:val="7A772BBC"/>
    <w:rsid w:val="7A8039CE"/>
    <w:rsid w:val="7A8157E9"/>
    <w:rsid w:val="7A94376E"/>
    <w:rsid w:val="7A965738"/>
    <w:rsid w:val="7AA5597C"/>
    <w:rsid w:val="7AB7745D"/>
    <w:rsid w:val="7ABE6A3D"/>
    <w:rsid w:val="7AD93877"/>
    <w:rsid w:val="7AE069B4"/>
    <w:rsid w:val="7AE77D42"/>
    <w:rsid w:val="7AEE6970"/>
    <w:rsid w:val="7AF4245F"/>
    <w:rsid w:val="7AF55C68"/>
    <w:rsid w:val="7AF661D7"/>
    <w:rsid w:val="7AF81F4F"/>
    <w:rsid w:val="7AFD1314"/>
    <w:rsid w:val="7B007056"/>
    <w:rsid w:val="7B0703E4"/>
    <w:rsid w:val="7B0A3A31"/>
    <w:rsid w:val="7B136D89"/>
    <w:rsid w:val="7B1C3D58"/>
    <w:rsid w:val="7B1E128A"/>
    <w:rsid w:val="7B220D7A"/>
    <w:rsid w:val="7B5254B4"/>
    <w:rsid w:val="7B573B5F"/>
    <w:rsid w:val="7B583AA9"/>
    <w:rsid w:val="7B5876EA"/>
    <w:rsid w:val="7B5B603A"/>
    <w:rsid w:val="7B6B67E1"/>
    <w:rsid w:val="7B7A0BB6"/>
    <w:rsid w:val="7B7D2454"/>
    <w:rsid w:val="7B8D0B0D"/>
    <w:rsid w:val="7B9A1258"/>
    <w:rsid w:val="7B9B0B2D"/>
    <w:rsid w:val="7B9F061D"/>
    <w:rsid w:val="7B9F686F"/>
    <w:rsid w:val="7BA25700"/>
    <w:rsid w:val="7BAE4FBA"/>
    <w:rsid w:val="7BB5745A"/>
    <w:rsid w:val="7BB816DF"/>
    <w:rsid w:val="7BBF2A6D"/>
    <w:rsid w:val="7BD70000"/>
    <w:rsid w:val="7BDC53CD"/>
    <w:rsid w:val="7BF2699E"/>
    <w:rsid w:val="7BF70459"/>
    <w:rsid w:val="7BF7AF00"/>
    <w:rsid w:val="7BFC5A6F"/>
    <w:rsid w:val="7BFF3346"/>
    <w:rsid w:val="7C034949"/>
    <w:rsid w:val="7C084414"/>
    <w:rsid w:val="7C1C7EBF"/>
    <w:rsid w:val="7C213A59"/>
    <w:rsid w:val="7C224DAA"/>
    <w:rsid w:val="7C232FFC"/>
    <w:rsid w:val="7C2A32C5"/>
    <w:rsid w:val="7C2D79D7"/>
    <w:rsid w:val="7C371B35"/>
    <w:rsid w:val="7C3D3992"/>
    <w:rsid w:val="7C413482"/>
    <w:rsid w:val="7C4D62CB"/>
    <w:rsid w:val="7C547659"/>
    <w:rsid w:val="7C574A54"/>
    <w:rsid w:val="7C6158D2"/>
    <w:rsid w:val="7C6A015E"/>
    <w:rsid w:val="7C6B49A3"/>
    <w:rsid w:val="7C745605"/>
    <w:rsid w:val="7C7A6994"/>
    <w:rsid w:val="7C877858"/>
    <w:rsid w:val="7C8B6DF3"/>
    <w:rsid w:val="7C9061B7"/>
    <w:rsid w:val="7C947A56"/>
    <w:rsid w:val="7C961804"/>
    <w:rsid w:val="7C9E5FA5"/>
    <w:rsid w:val="7CA270D6"/>
    <w:rsid w:val="7CA53A11"/>
    <w:rsid w:val="7CB83F7A"/>
    <w:rsid w:val="7CBD0B70"/>
    <w:rsid w:val="7CC3658D"/>
    <w:rsid w:val="7CC61BD9"/>
    <w:rsid w:val="7CC77E2B"/>
    <w:rsid w:val="7CDC304C"/>
    <w:rsid w:val="7CDE6F23"/>
    <w:rsid w:val="7CE02C9B"/>
    <w:rsid w:val="7CE04A49"/>
    <w:rsid w:val="7CE74537"/>
    <w:rsid w:val="7CEF2EDE"/>
    <w:rsid w:val="7CF80707"/>
    <w:rsid w:val="7CFE1373"/>
    <w:rsid w:val="7D1E5AD5"/>
    <w:rsid w:val="7D2A03BA"/>
    <w:rsid w:val="7D2E186E"/>
    <w:rsid w:val="7D2F3C22"/>
    <w:rsid w:val="7D341239"/>
    <w:rsid w:val="7D3E3E65"/>
    <w:rsid w:val="7D4354F0"/>
    <w:rsid w:val="7D450D50"/>
    <w:rsid w:val="7D48291D"/>
    <w:rsid w:val="7D496A92"/>
    <w:rsid w:val="7D5471E5"/>
    <w:rsid w:val="7D693224"/>
    <w:rsid w:val="7D6C4C9B"/>
    <w:rsid w:val="7D7635FF"/>
    <w:rsid w:val="7D785880"/>
    <w:rsid w:val="7D8950E1"/>
    <w:rsid w:val="7D8C2E23"/>
    <w:rsid w:val="7D8E0949"/>
    <w:rsid w:val="7DB303AF"/>
    <w:rsid w:val="7DB3215D"/>
    <w:rsid w:val="7DBA34EC"/>
    <w:rsid w:val="7DBB1012"/>
    <w:rsid w:val="7DBD026B"/>
    <w:rsid w:val="7DC46119"/>
    <w:rsid w:val="7DCF31D9"/>
    <w:rsid w:val="7DD16A88"/>
    <w:rsid w:val="7DDD71DA"/>
    <w:rsid w:val="7DE1316F"/>
    <w:rsid w:val="7DE26D93"/>
    <w:rsid w:val="7DE467BB"/>
    <w:rsid w:val="7DE55449"/>
    <w:rsid w:val="7DEC38C1"/>
    <w:rsid w:val="7DEC566F"/>
    <w:rsid w:val="7DF06F0E"/>
    <w:rsid w:val="7E1150D6"/>
    <w:rsid w:val="7E123B46"/>
    <w:rsid w:val="7E152E18"/>
    <w:rsid w:val="7E17093E"/>
    <w:rsid w:val="7E227B7D"/>
    <w:rsid w:val="7E2766A8"/>
    <w:rsid w:val="7E2D1F10"/>
    <w:rsid w:val="7E327526"/>
    <w:rsid w:val="7E3C65F7"/>
    <w:rsid w:val="7E4923B3"/>
    <w:rsid w:val="7E4E00D8"/>
    <w:rsid w:val="7E5E47BF"/>
    <w:rsid w:val="7E696CC0"/>
    <w:rsid w:val="7E6A1498"/>
    <w:rsid w:val="7E725B75"/>
    <w:rsid w:val="7E7C4C45"/>
    <w:rsid w:val="7E834226"/>
    <w:rsid w:val="7E870653"/>
    <w:rsid w:val="7E8835EA"/>
    <w:rsid w:val="7E8B6C36"/>
    <w:rsid w:val="7E8E0531"/>
    <w:rsid w:val="7E977CD1"/>
    <w:rsid w:val="7E9A38E8"/>
    <w:rsid w:val="7EAB552B"/>
    <w:rsid w:val="7EAD3051"/>
    <w:rsid w:val="7EE84089"/>
    <w:rsid w:val="7EF26CB5"/>
    <w:rsid w:val="7EF90044"/>
    <w:rsid w:val="7F053155"/>
    <w:rsid w:val="7F062761"/>
    <w:rsid w:val="7F0B6472"/>
    <w:rsid w:val="7F121106"/>
    <w:rsid w:val="7F1C1F84"/>
    <w:rsid w:val="7F2826D7"/>
    <w:rsid w:val="7F2C666B"/>
    <w:rsid w:val="7F2F1CB8"/>
    <w:rsid w:val="7F3E639F"/>
    <w:rsid w:val="7F405C73"/>
    <w:rsid w:val="7F4C0ABC"/>
    <w:rsid w:val="7F5549CB"/>
    <w:rsid w:val="7F62208D"/>
    <w:rsid w:val="7F625BE9"/>
    <w:rsid w:val="7F6A0F42"/>
    <w:rsid w:val="7F761695"/>
    <w:rsid w:val="7F78540D"/>
    <w:rsid w:val="7F8557DB"/>
    <w:rsid w:val="7F8901BE"/>
    <w:rsid w:val="7F8C0EB8"/>
    <w:rsid w:val="7FB328E9"/>
    <w:rsid w:val="7FB55CB4"/>
    <w:rsid w:val="7FC15A2F"/>
    <w:rsid w:val="7FD91C23"/>
    <w:rsid w:val="7FDA60C7"/>
    <w:rsid w:val="7FDF36DE"/>
    <w:rsid w:val="7FE01204"/>
    <w:rsid w:val="7FE9630A"/>
    <w:rsid w:val="7FF64583"/>
    <w:rsid w:val="EF357B29"/>
    <w:rsid w:val="FA3D4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99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5">
    <w:name w:val="heading 1"/>
    <w:basedOn w:val="1"/>
    <w:next w:val="1"/>
    <w:link w:val="37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6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25">
    <w:name w:val="Default Paragraph Font"/>
    <w:semiHidden/>
    <w:qFormat/>
    <w:uiPriority w:val="0"/>
  </w:style>
  <w:style w:type="table" w:default="1" w:styleId="2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qFormat/>
    <w:uiPriority w:val="0"/>
    <w:pPr>
      <w:snapToGrid w:val="0"/>
      <w:jc w:val="left"/>
    </w:pPr>
    <w:rPr>
      <w:sz w:val="18"/>
    </w:rPr>
  </w:style>
  <w:style w:type="paragraph" w:styleId="3">
    <w:name w:val="Body Text First Indent 2"/>
    <w:basedOn w:val="4"/>
    <w:qFormat/>
    <w:uiPriority w:val="99"/>
    <w:pPr>
      <w:ind w:firstLine="420" w:firstLineChars="200"/>
    </w:pPr>
  </w:style>
  <w:style w:type="paragraph" w:styleId="4">
    <w:name w:val="Body Text Indent"/>
    <w:basedOn w:val="1"/>
    <w:next w:val="3"/>
    <w:qFormat/>
    <w:uiPriority w:val="99"/>
    <w:pPr>
      <w:spacing w:line="580" w:lineRule="exact"/>
      <w:ind w:firstLine="640"/>
    </w:pPr>
    <w:rPr>
      <w:rFonts w:ascii="仿宋_GB2312" w:eastAsia="仿宋_GB2312" w:cs="仿宋_GB2312"/>
      <w:sz w:val="32"/>
      <w:szCs w:val="32"/>
    </w:rPr>
  </w:style>
  <w:style w:type="paragraph" w:styleId="7">
    <w:name w:val="Normal Indent"/>
    <w:basedOn w:val="1"/>
    <w:qFormat/>
    <w:uiPriority w:val="0"/>
    <w:pPr>
      <w:ind w:firstLine="420" w:firstLineChars="200"/>
    </w:p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"/>
    <w:basedOn w:val="1"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10">
    <w:name w:val="toc 5"/>
    <w:basedOn w:val="1"/>
    <w:next w:val="1"/>
    <w:qFormat/>
    <w:uiPriority w:val="0"/>
    <w:pPr>
      <w:ind w:left="1680"/>
    </w:pPr>
    <w:rPr>
      <w:rFonts w:ascii="Times New Roman" w:hAnsi="Times New Roman" w:eastAsia="宋体" w:cs="Times New Roman"/>
      <w:sz w:val="21"/>
    </w:rPr>
  </w:style>
  <w:style w:type="paragraph" w:styleId="11">
    <w:name w:val="toc 3"/>
    <w:basedOn w:val="1"/>
    <w:next w:val="1"/>
    <w:qFormat/>
    <w:uiPriority w:val="0"/>
    <w:pPr>
      <w:ind w:left="420"/>
    </w:pPr>
    <w:rPr>
      <w:rFonts w:ascii="等线" w:hAnsi="等线" w:eastAsia="等线"/>
      <w:b/>
      <w:sz w:val="30"/>
      <w:szCs w:val="30"/>
    </w:rPr>
  </w:style>
  <w:style w:type="paragraph" w:styleId="12">
    <w:name w:val="Plain Text"/>
    <w:basedOn w:val="1"/>
    <w:qFormat/>
    <w:uiPriority w:val="99"/>
    <w:rPr>
      <w:rFonts w:ascii="宋体" w:hAnsi="Courier New"/>
      <w:sz w:val="32"/>
      <w:szCs w:val="32"/>
    </w:rPr>
  </w:style>
  <w:style w:type="paragraph" w:styleId="13">
    <w:name w:val="Body Text Indent 2"/>
    <w:basedOn w:val="1"/>
    <w:next w:val="1"/>
    <w:unhideWhenUsed/>
    <w:qFormat/>
    <w:uiPriority w:val="99"/>
    <w:pPr>
      <w:spacing w:after="120" w:line="480" w:lineRule="auto"/>
      <w:ind w:left="420" w:leftChars="200"/>
    </w:pPr>
    <w:rPr>
      <w:rFonts w:ascii="Times New Roman" w:hAnsi="Times New Roman" w:eastAsia="宋体" w:cs="Times New Roman"/>
    </w:rPr>
  </w:style>
  <w:style w:type="paragraph" w:styleId="14">
    <w:name w:val="footer"/>
    <w:basedOn w:val="1"/>
    <w:next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15">
    <w:name w:val="UserStyle_0"/>
    <w:basedOn w:val="16"/>
    <w:next w:val="1"/>
    <w:qFormat/>
    <w:uiPriority w:val="0"/>
    <w:pPr>
      <w:ind w:left="1680"/>
    </w:pPr>
  </w:style>
  <w:style w:type="paragraph" w:customStyle="1" w:styleId="16">
    <w:name w:val="正文 New"/>
    <w:next w:val="17"/>
    <w:qFormat/>
    <w:uiPriority w:val="0"/>
    <w:pPr>
      <w:jc w:val="both"/>
      <w:textAlignment w:val="baseline"/>
    </w:pPr>
    <w:rPr>
      <w:rFonts w:ascii="Times New Roman" w:hAnsi="Times New Roman" w:eastAsia="宋体" w:cs="黑体"/>
      <w:kern w:val="2"/>
      <w:sz w:val="21"/>
      <w:szCs w:val="24"/>
      <w:lang w:val="en-US" w:eastAsia="zh-CN" w:bidi="ar-SA"/>
    </w:rPr>
  </w:style>
  <w:style w:type="paragraph" w:customStyle="1" w:styleId="17">
    <w:name w:val="页脚 New"/>
    <w:basedOn w:val="16"/>
    <w:next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</w:rPr>
  </w:style>
  <w:style w:type="paragraph" w:styleId="1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9">
    <w:name w:val="toc 1"/>
    <w:basedOn w:val="1"/>
    <w:next w:val="1"/>
    <w:qFormat/>
    <w:uiPriority w:val="0"/>
  </w:style>
  <w:style w:type="paragraph" w:styleId="20">
    <w:name w:val="index 9"/>
    <w:basedOn w:val="1"/>
    <w:next w:val="1"/>
    <w:qFormat/>
    <w:uiPriority w:val="99"/>
    <w:pPr>
      <w:widowControl w:val="0"/>
      <w:ind w:left="3360"/>
      <w:jc w:val="left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1">
    <w:name w:val="toc 2"/>
    <w:basedOn w:val="1"/>
    <w:next w:val="1"/>
    <w:qFormat/>
    <w:uiPriority w:val="0"/>
    <w:pPr>
      <w:ind w:left="420" w:leftChars="200"/>
    </w:pPr>
  </w:style>
  <w:style w:type="paragraph" w:styleId="2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24">
    <w:name w:val="Table Grid"/>
    <w:basedOn w:val="2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6">
    <w:name w:val="Strong"/>
    <w:basedOn w:val="25"/>
    <w:qFormat/>
    <w:uiPriority w:val="0"/>
    <w:rPr>
      <w:b/>
    </w:rPr>
  </w:style>
  <w:style w:type="character" w:styleId="27">
    <w:name w:val="Emphasis"/>
    <w:basedOn w:val="25"/>
    <w:qFormat/>
    <w:uiPriority w:val="0"/>
    <w:rPr>
      <w:i/>
    </w:rPr>
  </w:style>
  <w:style w:type="character" w:styleId="28">
    <w:name w:val="Hyperlink"/>
    <w:basedOn w:val="25"/>
    <w:qFormat/>
    <w:uiPriority w:val="0"/>
    <w:rPr>
      <w:color w:val="0000FF"/>
      <w:u w:val="single"/>
    </w:rPr>
  </w:style>
  <w:style w:type="character" w:styleId="29">
    <w:name w:val="footnote reference"/>
    <w:basedOn w:val="25"/>
    <w:qFormat/>
    <w:uiPriority w:val="0"/>
    <w:rPr>
      <w:vertAlign w:val="superscript"/>
    </w:rPr>
  </w:style>
  <w:style w:type="paragraph" w:customStyle="1" w:styleId="30">
    <w:name w:val="目录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customStyle="1" w:styleId="31">
    <w:name w:val="公文正文"/>
    <w:basedOn w:val="1"/>
    <w:qFormat/>
    <w:uiPriority w:val="0"/>
    <w:pPr>
      <w:spacing w:line="560" w:lineRule="exact"/>
      <w:ind w:firstLine="1920" w:firstLineChars="200"/>
    </w:pPr>
    <w:rPr>
      <w:rFonts w:ascii="仿宋_GB2312" w:hAnsi="仿宋_GB2312" w:eastAsia="仿宋_GB2312" w:cs="Times New Roman"/>
      <w:kern w:val="0"/>
      <w:sz w:val="32"/>
      <w:szCs w:val="20"/>
    </w:rPr>
  </w:style>
  <w:style w:type="character" w:customStyle="1" w:styleId="32">
    <w:name w:val="font01"/>
    <w:basedOn w:val="2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3">
    <w:name w:val="font31"/>
    <w:basedOn w:val="25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paragraph" w:customStyle="1" w:styleId="34">
    <w:name w:val="List Paragraph"/>
    <w:basedOn w:val="1"/>
    <w:qFormat/>
    <w:uiPriority w:val="99"/>
    <w:pPr>
      <w:ind w:firstLine="420" w:firstLineChars="200"/>
    </w:pPr>
  </w:style>
  <w:style w:type="character" w:customStyle="1" w:styleId="35">
    <w:name w:val="font41"/>
    <w:basedOn w:val="25"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  <w:style w:type="character" w:customStyle="1" w:styleId="36">
    <w:name w:val="font51"/>
    <w:basedOn w:val="25"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  <w:style w:type="character" w:customStyle="1" w:styleId="37">
    <w:name w:val="标题 1 Char"/>
    <w:link w:val="5"/>
    <w:qFormat/>
    <w:uiPriority w:val="0"/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customStyle="1" w:styleId="38">
    <w:name w:val="font61"/>
    <w:basedOn w:val="25"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39">
    <w:name w:val="font71"/>
    <w:basedOn w:val="25"/>
    <w:uiPriority w:val="0"/>
    <w:rPr>
      <w:rFonts w:ascii="MS Gothic" w:hAnsi="MS Gothic" w:eastAsia="MS Gothic" w:cs="MS Gothic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c5640303-a5b5-4fee-8c72-5c75f1a0a2ec</errorID>
      <errorWord>商业高质量发展</errorWord>
      <group>L1_Political</group>
      <groupName>政治性问题</groupName>
      <ability>L2_Keyword</ability>
      <abilityName>固定表述</abilityName>
      <candidateList>
        <item>经济高质量发展</item>
      </candidateList>
      <explain>词汇“经济高质量发展”在特定场景下为固定表述形式，请确认此处的“商业高质量发展”是否存在不当。</explain>
      <paraID> 203778B</paraID>
      <start>120</start>
      <end>127</end>
      <status>unmodified</status>
      <modifiedWord/>
      <trackRevisions>false</trackRevisions>
    </reviewItem>
    <reviewItem>
      <errorID>737778ad-2973-47ce-8f20-b55698df94f2</errorID>
      <errorWord>遇</errorWord>
      <group>L1_Word</group>
      <groupName>字词问题</groupName>
      <ability>L2_Typo</ability>
      <abilityName>字词错误</abilityName>
      <candidateList>
        <item>遇的</item>
      </candidateList>
      <explain/>
      <paraID> FE8880C</paraID>
      <start>92</start>
      <end>93</end>
      <status>unmodified</status>
      <modifiedWord/>
      <trackRevisions>false</trackRevisions>
    </reviewItem>
    <reviewItem>
      <errorID>fbb0b806-1e7b-4359-aa36-c24d6a0affb1</errorID>
      <errorWord>念坛</errorWord>
      <group>L1_Word</group>
      <groupName>字词问题</groupName>
      <ability>L2_Typo</ability>
      <abilityName>字词错误</abilityName>
      <candidateList>
        <item>金坛</item>
      </candidateList>
      <explain>存在字形相近字词的误用。</explain>
      <paraID>3217901E</paraID>
      <start>161</start>
      <end>163</end>
      <status>unmodified</status>
      <modifiedWord/>
      <trackRevisions>false</trackRevisions>
    </reviewItem>
    <reviewItem>
      <errorID>be40dd01-d23f-4624-825e-b232b69b9884</errorID>
      <errorWord>商业高质量发展</errorWord>
      <group>L1_Political</group>
      <groupName>政治性问题</groupName>
      <ability>L2_Keyword</ability>
      <abilityName>固定表述</abilityName>
      <candidateList>
        <item>经济高质量发展</item>
      </candidateList>
      <explain>词汇“经济高质量发展”在特定场景下为固定表述形式，请确认此处的“商业高质量发展”是否存在不当。</explain>
      <paraID>373E7DDB</paraID>
      <start>4</start>
      <end>11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97ad56-688a-4c72-8a12-816af70cf6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9032</Words>
  <Characters>9138</Characters>
  <Lines>0</Lines>
  <Paragraphs>0</Paragraphs>
  <TotalTime>9</TotalTime>
  <ScaleCrop>false</ScaleCrop>
  <LinksUpToDate>false</LinksUpToDate>
  <CharactersWithSpaces>9268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2025-03-15T03:15:00Z</dcterms:created>
  <dc:creator>Administrator</dc:creator>
  <cp:lastModifiedBy>XY</cp:lastModifiedBy>
  <cp:lastPrinted>2025-12-08T15:10:00Z</cp:lastPrinted>
  <dcterms:modified xsi:type="dcterms:W3CDTF">2026-09-22T09:09:10Z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KSOTemplateDocerSaveRecord">
    <vt:lpwstr>eyJoZGlkIjoiNGE1NzRjOGM5MjMzYWQ1Y2UxNjc5NzM0Yjg2ZDdmNWUiLCJ1c2VySWQiOiI0ODAzOTc1MDAifQ==</vt:lpwstr>
  </property>
  <property fmtid="{D5CDD505-2E9C-101B-9397-08002B2CF9AE}" pid="4" name="ICV">
    <vt:lpwstr>107B9AD8C16F43A5A2C1E23133EB935C_13</vt:lpwstr>
  </property>
</Properties>
</file>